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A167D">
      <w:pPr>
        <w:jc w:val="center"/>
        <w:rPr>
          <w:rFonts w:hint="eastAsia" w:ascii="黑体" w:hAnsi="黑体" w:eastAsia="黑体"/>
          <w:color w:val="000000" w:themeColor="text1"/>
          <w:spacing w:val="90"/>
          <w:kern w:val="0"/>
          <w:sz w:val="72"/>
          <w:szCs w:val="72"/>
          <w14:textFill>
            <w14:solidFill>
              <w14:schemeClr w14:val="tx1"/>
            </w14:solidFill>
          </w14:textFill>
        </w:rPr>
      </w:pPr>
    </w:p>
    <w:p w14:paraId="544E3D55">
      <w:pPr>
        <w:jc w:val="center"/>
        <w:rPr>
          <w:rFonts w:hint="eastAsia"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pacing w:val="90"/>
          <w:kern w:val="0"/>
          <w:sz w:val="72"/>
          <w:szCs w:val="72"/>
          <w:fitText w:val="6120" w:id="29115568"/>
          <w14:textFill>
            <w14:solidFill>
              <w14:schemeClr w14:val="tx1"/>
            </w14:solidFill>
          </w14:textFill>
        </w:rPr>
        <w:t>湖北省政府采</w:t>
      </w:r>
      <w:r>
        <w:rPr>
          <w:rFonts w:hint="eastAsia" w:ascii="黑体" w:hAnsi="黑体" w:eastAsia="黑体"/>
          <w:color w:val="000000" w:themeColor="text1"/>
          <w:spacing w:val="0"/>
          <w:kern w:val="0"/>
          <w:sz w:val="72"/>
          <w:szCs w:val="72"/>
          <w:fitText w:val="6120" w:id="29115568"/>
          <w14:textFill>
            <w14:solidFill>
              <w14:schemeClr w14:val="tx1"/>
            </w14:solidFill>
          </w14:textFill>
        </w:rPr>
        <w:t>购</w:t>
      </w:r>
    </w:p>
    <w:p w14:paraId="328D674F">
      <w:pPr>
        <w:rPr>
          <w:rFonts w:hint="eastAsia" w:ascii="黑体" w:hAnsi="黑体" w:eastAsia="黑体"/>
          <w:color w:val="000000" w:themeColor="text1"/>
          <w14:textFill>
            <w14:solidFill>
              <w14:schemeClr w14:val="tx1"/>
            </w14:solidFill>
          </w14:textFill>
        </w:rPr>
      </w:pPr>
    </w:p>
    <w:p w14:paraId="62CC7DF1">
      <w:pPr>
        <w:jc w:val="center"/>
        <w:rPr>
          <w:rFonts w:hint="eastAsia" w:ascii="黑体" w:hAnsi="黑体" w:eastAsia="黑体"/>
          <w:color w:val="000000" w:themeColor="text1"/>
          <w:sz w:val="72"/>
          <w:szCs w:val="72"/>
          <w14:textFill>
            <w14:solidFill>
              <w14:schemeClr w14:val="tx1"/>
            </w14:solidFill>
          </w14:textFill>
        </w:rPr>
      </w:pPr>
      <w:r>
        <w:rPr>
          <w:rFonts w:hint="eastAsia" w:ascii="黑体" w:hAnsi="黑体" w:eastAsia="黑体"/>
          <w:color w:val="000000" w:themeColor="text1"/>
          <w:sz w:val="72"/>
          <w:szCs w:val="72"/>
          <w14:textFill>
            <w14:solidFill>
              <w14:schemeClr w14:val="tx1"/>
            </w14:solidFill>
          </w14:textFill>
        </w:rPr>
        <w:t>公开招标文件</w:t>
      </w:r>
    </w:p>
    <w:p w14:paraId="6F0A7142">
      <w:pPr>
        <w:jc w:val="center"/>
        <w:rPr>
          <w:rFonts w:hint="eastAsia" w:ascii="黑体" w:hAnsi="黑体" w:eastAsia="黑体"/>
          <w:color w:val="000000" w:themeColor="text1"/>
          <w:sz w:val="44"/>
          <w:szCs w:val="44"/>
          <w14:textFill>
            <w14:solidFill>
              <w14:schemeClr w14:val="tx1"/>
            </w14:solidFill>
          </w14:textFill>
        </w:rPr>
      </w:pPr>
      <w:bookmarkStart w:id="0" w:name="_Hlk164181180"/>
    </w:p>
    <w:bookmarkEnd w:id="0"/>
    <w:p w14:paraId="2120B5BB">
      <w:pPr>
        <w:jc w:val="center"/>
        <w:rPr>
          <w:rFonts w:hint="eastAsia" w:ascii="黑体" w:hAnsi="黑体" w:eastAsia="黑体"/>
          <w:color w:val="000000" w:themeColor="text1"/>
          <w:sz w:val="44"/>
          <w:szCs w:val="44"/>
          <w14:textFill>
            <w14:solidFill>
              <w14:schemeClr w14:val="tx1"/>
            </w14:solidFill>
          </w14:textFill>
        </w:rPr>
      </w:pPr>
    </w:p>
    <w:p w14:paraId="65A087C5">
      <w:pPr>
        <w:jc w:val="center"/>
        <w:rPr>
          <w:rFonts w:hint="eastAsia" w:ascii="黑体" w:hAnsi="黑体" w:eastAsia="黑体"/>
          <w:color w:val="000000" w:themeColor="text1"/>
          <w:sz w:val="72"/>
          <w:szCs w:val="72"/>
          <w14:textFill>
            <w14:solidFill>
              <w14:schemeClr w14:val="tx1"/>
            </w14:solidFill>
          </w14:textFill>
        </w:rPr>
      </w:pPr>
    </w:p>
    <w:p w14:paraId="67EBD4BC">
      <w:pPr>
        <w:jc w:val="center"/>
        <w:rPr>
          <w:rFonts w:hint="eastAsia" w:ascii="黑体" w:hAnsi="黑体" w:eastAsia="黑体"/>
          <w:color w:val="000000" w:themeColor="text1"/>
          <w:sz w:val="72"/>
          <w:szCs w:val="72"/>
          <w14:textFill>
            <w14:solidFill>
              <w14:schemeClr w14:val="tx1"/>
            </w14:solidFill>
          </w14:textFill>
        </w:rPr>
      </w:pPr>
    </w:p>
    <w:p w14:paraId="322B8918">
      <w:pPr>
        <w:jc w:val="center"/>
        <w:rPr>
          <w:rFonts w:hint="eastAsia" w:ascii="黑体" w:hAnsi="黑体" w:eastAsia="黑体"/>
          <w:color w:val="000000" w:themeColor="text1"/>
          <w:sz w:val="72"/>
          <w:szCs w:val="72"/>
          <w14:textFill>
            <w14:solidFill>
              <w14:schemeClr w14:val="tx1"/>
            </w14:solidFill>
          </w14:textFill>
        </w:rPr>
      </w:pPr>
    </w:p>
    <w:p w14:paraId="5538FF13">
      <w:pPr>
        <w:ind w:left="420" w:leftChars="175"/>
        <w:rPr>
          <w:rFonts w:hint="eastAsia" w:ascii="黑体" w:hAnsi="黑体" w:eastAsia="黑体"/>
          <w:color w:val="000000" w:themeColor="text1"/>
          <w:sz w:val="32"/>
          <w:szCs w:val="32"/>
          <w:u w:val="single"/>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r>
        <w:rPr>
          <w:rFonts w:hint="eastAsia" w:ascii="黑体" w:hAnsi="黑体" w:eastAsia="黑体"/>
          <w:color w:val="000000" w:themeColor="text1"/>
          <w:sz w:val="32"/>
          <w:szCs w:val="32"/>
          <w:u w:val="single"/>
          <w14:textFill>
            <w14:solidFill>
              <w14:schemeClr w14:val="tx1"/>
            </w14:solidFill>
          </w14:textFill>
        </w:rPr>
        <w:t>420804-2025-00478</w:t>
      </w:r>
    </w:p>
    <w:p w14:paraId="4ED2F8FC">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hint="eastAsia" w:ascii="黑体" w:hAnsi="黑体" w:eastAsia="黑体"/>
          <w:color w:val="000000" w:themeColor="text1"/>
          <w:sz w:val="32"/>
          <w:szCs w:val="32"/>
          <w:u w:val="single"/>
          <w14:textFill>
            <w14:solidFill>
              <w14:schemeClr w14:val="tx1"/>
            </w14:solidFill>
          </w14:textFill>
        </w:rPr>
        <w:tab/>
      </w:r>
      <w:r>
        <w:rPr>
          <w:rFonts w:hint="eastAsia" w:ascii="黑体" w:hAnsi="黑体" w:eastAsia="黑体"/>
          <w:color w:val="000000" w:themeColor="text1"/>
          <w:sz w:val="32"/>
          <w:szCs w:val="32"/>
          <w:u w:val="single"/>
          <w14:textFill>
            <w14:solidFill>
              <w14:schemeClr w14:val="tx1"/>
            </w14:solidFill>
          </w14:textFill>
        </w:rPr>
        <w:t>DDZFCG2025(G-004)-008</w:t>
      </w:r>
    </w:p>
    <w:p w14:paraId="77F00E85">
      <w:pPr>
        <w:ind w:left="420" w:leftChars="175"/>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ascii="黑体" w:hAnsi="黑体" w:eastAsia="黑体"/>
          <w:color w:val="000000" w:themeColor="text1"/>
          <w:sz w:val="32"/>
          <w:szCs w:val="32"/>
          <w14:textFill>
            <w14:solidFill>
              <w14:schemeClr w14:val="tx1"/>
            </w14:solidFill>
          </w14:textFill>
        </w:rPr>
        <w:tab/>
      </w:r>
      <w:bookmarkStart w:id="529" w:name="_GoBack"/>
      <w:bookmarkEnd w:id="529"/>
      <w:r>
        <w:rPr>
          <w:rFonts w:hint="eastAsia" w:ascii="黑体" w:hAnsi="黑体" w:eastAsia="黑体"/>
          <w:color w:val="000000" w:themeColor="text1"/>
          <w:sz w:val="32"/>
          <w:szCs w:val="32"/>
          <w:u w:val="single"/>
          <w:lang w:eastAsia="zh-CN"/>
          <w14:textFill>
            <w14:solidFill>
              <w14:schemeClr w14:val="tx1"/>
            </w14:solidFill>
          </w14:textFill>
        </w:rPr>
        <w:t>军马场学校初中部新建项目智慧校园设备采购（二次）包4校园数字广播、灯光、音响、舞台设备、移动直播设备</w:t>
      </w:r>
    </w:p>
    <w:p w14:paraId="42F6FB6B">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采购人：</w:t>
      </w:r>
      <w:r>
        <w:rPr>
          <w:rFonts w:hint="eastAsia" w:ascii="黑体" w:hAnsi="黑体" w:eastAsia="黑体"/>
          <w:color w:val="000000" w:themeColor="text1"/>
          <w:sz w:val="32"/>
          <w:szCs w:val="32"/>
          <w:u w:val="single"/>
          <w14:textFill>
            <w14:solidFill>
              <w14:schemeClr w14:val="tx1"/>
            </w14:solidFill>
          </w14:textFill>
        </w:rPr>
        <w:t>荆门市掇刀区军马场学校</w:t>
      </w:r>
    </w:p>
    <w:p w14:paraId="3C0A044E">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采购代理机构：</w:t>
      </w:r>
      <w:r>
        <w:rPr>
          <w:rFonts w:hint="eastAsia" w:ascii="黑体" w:hAnsi="黑体" w:eastAsia="黑体"/>
          <w:color w:val="000000" w:themeColor="text1"/>
          <w:sz w:val="32"/>
          <w:szCs w:val="32"/>
          <w:u w:val="single"/>
          <w14:textFill>
            <w14:solidFill>
              <w14:schemeClr w14:val="tx1"/>
            </w14:solidFill>
          </w14:textFill>
        </w:rPr>
        <w:t>掇刀区政府采购中心</w:t>
      </w:r>
      <w:r>
        <w:rPr>
          <w:rFonts w:ascii="黑体" w:hAnsi="黑体" w:eastAsia="黑体"/>
          <w:color w:val="000000" w:themeColor="text1"/>
          <w:sz w:val="32"/>
          <w:szCs w:val="32"/>
          <w:u w:val="single"/>
          <w14:textFill>
            <w14:solidFill>
              <w14:schemeClr w14:val="tx1"/>
            </w14:solidFill>
          </w14:textFill>
        </w:rPr>
        <w:t xml:space="preserve"> </w:t>
      </w:r>
    </w:p>
    <w:p w14:paraId="37E4D6B1">
      <w:pPr>
        <w:rPr>
          <w:rFonts w:hint="eastAsia" w:ascii="黑体" w:hAnsi="黑体" w:eastAsia="黑体"/>
          <w:color w:val="000000" w:themeColor="text1"/>
          <w14:textFill>
            <w14:solidFill>
              <w14:schemeClr w14:val="tx1"/>
            </w14:solidFill>
          </w14:textFill>
        </w:rPr>
      </w:pPr>
    </w:p>
    <w:p w14:paraId="7EF73CBC">
      <w:pPr>
        <w:rPr>
          <w:rFonts w:hint="eastAsia" w:ascii="黑体" w:hAnsi="黑体" w:eastAsia="黑体"/>
          <w:color w:val="000000" w:themeColor="text1"/>
          <w14:textFill>
            <w14:solidFill>
              <w14:schemeClr w14:val="tx1"/>
            </w14:solidFill>
          </w14:textFill>
        </w:rPr>
      </w:pPr>
    </w:p>
    <w:p w14:paraId="32CF0930">
      <w:pPr>
        <w:pStyle w:val="80"/>
        <w:spacing w:after="0"/>
        <w:ind w:left="0"/>
        <w:rPr>
          <w:color w:val="000000" w:themeColor="text1"/>
          <w14:textFill>
            <w14:solidFill>
              <w14:schemeClr w14:val="tx1"/>
            </w14:solidFill>
          </w14:textFill>
        </w:rPr>
      </w:pPr>
    </w:p>
    <w:p w14:paraId="2A0E2A25">
      <w:pPr>
        <w:ind w:firstLine="3200" w:firstLineChars="1000"/>
        <w:jc w:val="both"/>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2025年6月</w:t>
      </w:r>
    </w:p>
    <w:p w14:paraId="0BEA51AA">
      <w:pPr>
        <w:jc w:val="center"/>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目 录</w:t>
      </w:r>
    </w:p>
    <w:p w14:paraId="60A734EF">
      <w:pPr>
        <w:pStyle w:val="54"/>
        <w:tabs>
          <w:tab w:val="right" w:leader="dot" w:pos="8306"/>
        </w:tabs>
        <w:spacing w:before="0" w:after="0" w:line="44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TOC \o "1-4" \h \z \u</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fldChar w:fldCharType="begin"/>
      </w:r>
      <w:r>
        <w:instrText xml:space="preserve"> HYPERLINK \l "_Toc14494" </w:instrText>
      </w:r>
      <w:r>
        <w:fldChar w:fldCharType="separate"/>
      </w:r>
      <w:r>
        <w:rPr>
          <w:rFonts w:hint="eastAsia"/>
          <w:color w:val="000000" w:themeColor="text1"/>
          <w14:textFill>
            <w14:solidFill>
              <w14:schemeClr w14:val="tx1"/>
            </w14:solidFill>
          </w14:textFill>
        </w:rPr>
        <w:t>第一章  投标邀请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B30BB91">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"_Toc4129" </w:instrText>
      </w:r>
      <w:r>
        <w:fldChar w:fldCharType="separate"/>
      </w:r>
      <w:r>
        <w:rPr>
          <w:rFonts w:hint="eastAsia"/>
          <w:color w:val="000000" w:themeColor="text1"/>
          <w14:textFill>
            <w14:solidFill>
              <w14:schemeClr w14:val="tx1"/>
            </w14:solidFill>
          </w14:textFill>
        </w:rPr>
        <w:t>一、项目基本情况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BFFF781">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"_Toc31773" </w:instrText>
      </w:r>
      <w:r>
        <w:fldChar w:fldCharType="separate"/>
      </w:r>
      <w:r>
        <w:rPr>
          <w:rFonts w:hint="eastAsia" w:cs="宋体"/>
          <w:color w:val="000000" w:themeColor="text1"/>
          <w14:textFill>
            <w14:solidFill>
              <w14:schemeClr w14:val="tx1"/>
            </w14:solidFill>
          </w14:textFill>
        </w:rPr>
        <w:t>二、</w:t>
      </w:r>
      <w:r>
        <w:rPr>
          <w:rFonts w:hint="eastAsia"/>
          <w:color w:val="000000" w:themeColor="text1"/>
          <w14:textFill>
            <w14:solidFill>
              <w14:schemeClr w14:val="tx1"/>
            </w14:solidFill>
          </w14:textFill>
        </w:rPr>
        <w:t>投标人资格要求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A10CC7">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"_Toc7436" </w:instrText>
      </w:r>
      <w:r>
        <w:fldChar w:fldCharType="separate"/>
      </w:r>
      <w:r>
        <w:rPr>
          <w:rFonts w:hint="eastAsia"/>
          <w:color w:val="000000" w:themeColor="text1"/>
          <w14:textFill>
            <w14:solidFill>
              <w14:schemeClr w14:val="tx1"/>
            </w14:solidFill>
          </w14:textFill>
        </w:rPr>
        <w:t>三、获取招标文件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_Toc7436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9533C81">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"_Toc5704" </w:instrText>
      </w:r>
      <w:r>
        <w:fldChar w:fldCharType="separate"/>
      </w:r>
      <w:r>
        <w:rPr>
          <w:rFonts w:hint="eastAsia"/>
          <w:color w:val="000000" w:themeColor="text1"/>
          <w14:textFill>
            <w14:solidFill>
              <w14:schemeClr w14:val="tx1"/>
            </w14:solidFill>
          </w14:textFill>
        </w:rPr>
        <w:t>四、提交投标文件截止时间、方式、开标时间和地点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_Toc5704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EDFD831">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"_Toc13935" </w:instrText>
      </w:r>
      <w:r>
        <w:fldChar w:fldCharType="separate"/>
      </w:r>
      <w:r>
        <w:rPr>
          <w:rFonts w:hint="eastAsia"/>
          <w:color w:val="000000" w:themeColor="text1"/>
          <w14:textFill>
            <w14:solidFill>
              <w14:schemeClr w14:val="tx1"/>
            </w14:solidFill>
          </w14:textFill>
        </w:rPr>
        <w:t>五、公告期限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4B570A8">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"_Toc4762" </w:instrText>
      </w:r>
      <w:r>
        <w:fldChar w:fldCharType="separate"/>
      </w:r>
      <w:r>
        <w:rPr>
          <w:rFonts w:hint="eastAsia"/>
          <w:color w:val="000000" w:themeColor="text1"/>
          <w14:textFill>
            <w14:solidFill>
              <w14:schemeClr w14:val="tx1"/>
            </w14:solidFill>
          </w14:textFill>
        </w:rPr>
        <w:t>六、其他补充事宜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_Toc4762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958E297">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"_Toc26532" </w:instrText>
      </w:r>
      <w:r>
        <w:fldChar w:fldCharType="separate"/>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CF51588">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"_Toc3474" </w:instrText>
      </w:r>
      <w:r>
        <w:fldChar w:fldCharType="separate"/>
      </w:r>
      <w:r>
        <w:rPr>
          <w:rFonts w:hint="eastAsia" w:ascii="宋体" w:eastAsia="黑体"/>
          <w:color w:val="000000" w:themeColor="text1"/>
          <w:kern w:val="44"/>
          <w:szCs w:val="44"/>
          <w14:textFill>
            <w14:solidFill>
              <w14:schemeClr w14:val="tx1"/>
            </w14:solidFill>
          </w14:textFill>
        </w:rPr>
        <w:t>第</w:t>
      </w:r>
      <w:r>
        <w:rPr>
          <w:rFonts w:hint="eastAsia"/>
          <w:color w:val="000000" w:themeColor="text1"/>
          <w:kern w:val="44"/>
          <w:szCs w:val="44"/>
          <w14:textFill>
            <w14:solidFill>
              <w14:schemeClr w14:val="tx1"/>
            </w14:solidFill>
          </w14:textFill>
        </w:rPr>
        <w:t>二</w:t>
      </w:r>
      <w:r>
        <w:rPr>
          <w:rFonts w:hint="eastAsia" w:ascii="宋体" w:eastAsia="黑体"/>
          <w:color w:val="000000" w:themeColor="text1"/>
          <w:kern w:val="44"/>
          <w:szCs w:val="44"/>
          <w14:textFill>
            <w14:solidFill>
              <w14:schemeClr w14:val="tx1"/>
            </w14:solidFill>
          </w14:textFill>
        </w:rPr>
        <w:t xml:space="preserve">章 </w:t>
      </w:r>
      <w:r>
        <w:rPr>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_Toc3474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8A78673">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"_Toc18330" </w:instrText>
      </w:r>
      <w:r>
        <w:fldChar w:fldCharType="separate"/>
      </w:r>
      <w:r>
        <w:rPr>
          <w:rFonts w:hint="eastAsia"/>
          <w:color w:val="000000" w:themeColor="text1"/>
          <w14:textFill>
            <w14:solidFill>
              <w14:schemeClr w14:val="tx1"/>
            </w14:solidFill>
          </w14:textFill>
        </w:rPr>
        <w:t>一、 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25C9836">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"_Toc1338" </w:instrText>
      </w:r>
      <w:r>
        <w:fldChar w:fldCharType="separate"/>
      </w:r>
      <w:r>
        <w:rPr>
          <w:rFonts w:hint="eastAsia"/>
          <w:color w:val="000000" w:themeColor="text1"/>
          <w14:textFill>
            <w14:solidFill>
              <w14:schemeClr w14:val="tx1"/>
            </w14:solidFill>
          </w14:textFill>
        </w:rPr>
        <w:t>二、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1F11D47">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"_Toc12076" </w:instrText>
      </w:r>
      <w:r>
        <w:fldChar w:fldCharType="separate"/>
      </w:r>
      <w:r>
        <w:rPr>
          <w:rFonts w:hint="eastAsia"/>
          <w:color w:val="000000" w:themeColor="text1"/>
          <w14:textFill>
            <w14:solidFill>
              <w14:schemeClr w14:val="tx1"/>
            </w14:solidFill>
          </w14:textFill>
        </w:rPr>
        <w:t>第三章 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BD78E2D">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"_Toc5539" </w:instrText>
      </w:r>
      <w:r>
        <w:fldChar w:fldCharType="separate"/>
      </w:r>
      <w:r>
        <w:rPr>
          <w:rFonts w:hint="eastAsia" w:ascii="宋体" w:eastAsia="黑体"/>
          <w:color w:val="000000" w:themeColor="text1"/>
          <w:kern w:val="44"/>
          <w:szCs w:val="44"/>
          <w14:textFill>
            <w14:solidFill>
              <w14:schemeClr w14:val="tx1"/>
            </w14:solidFill>
          </w14:textFill>
        </w:rPr>
        <w:t>第</w:t>
      </w:r>
      <w:r>
        <w:rPr>
          <w:rFonts w:hint="eastAsia"/>
          <w:color w:val="000000" w:themeColor="text1"/>
          <w:kern w:val="44"/>
          <w:szCs w:val="44"/>
          <w14:textFill>
            <w14:solidFill>
              <w14:schemeClr w14:val="tx1"/>
            </w14:solidFill>
          </w14:textFill>
        </w:rPr>
        <w:t>四章</w:t>
      </w:r>
      <w:r>
        <w:rPr>
          <w:rFonts w:hint="eastAsia" w:ascii="宋体" w:eastAsia="黑体"/>
          <w:color w:val="000000" w:themeColor="text1"/>
          <w:kern w:val="44"/>
          <w:szCs w:val="44"/>
          <w14:textFill>
            <w14:solidFill>
              <w14:schemeClr w14:val="tx1"/>
            </w14:solidFill>
          </w14:textFill>
        </w:rPr>
        <w:t xml:space="preserve"> </w:t>
      </w:r>
      <w:r>
        <w:rPr>
          <w:rFonts w:hint="eastAsia"/>
          <w:color w:val="000000" w:themeColor="text1"/>
          <w14:textFill>
            <w14:solidFill>
              <w14:schemeClr w14:val="tx1"/>
            </w14:solidFill>
          </w14:textFill>
        </w:rPr>
        <w:t>资格审查方法及标准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590A2BB">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"_Toc653" </w:instrText>
      </w:r>
      <w:r>
        <w:fldChar w:fldCharType="separate"/>
      </w:r>
      <w:r>
        <w:rPr>
          <w:rFonts w:hint="eastAsia"/>
          <w:color w:val="000000" w:themeColor="text1"/>
          <w:lang w:val="zh-CN"/>
          <w14:textFill>
            <w14:solidFill>
              <w14:schemeClr w14:val="tx1"/>
            </w14:solidFill>
          </w14:textFill>
        </w:rPr>
        <w:t>一、 资格审查</w:t>
      </w:r>
      <w:r>
        <w:rPr>
          <w:rFonts w:hint="eastAsia"/>
          <w:color w:val="000000" w:themeColor="text1"/>
          <w14:textFill>
            <w14:solidFill>
              <w14:schemeClr w14:val="tx1"/>
            </w14:solidFill>
          </w14:textFill>
        </w:rPr>
        <w:t>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247A486">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"_Toc10060" </w:instrText>
      </w:r>
      <w:r>
        <w:fldChar w:fldCharType="separate"/>
      </w:r>
      <w:r>
        <w:rPr>
          <w:rFonts w:hint="eastAsia"/>
          <w:color w:val="000000" w:themeColor="text1"/>
          <w:lang w:val="zh-CN"/>
          <w14:textFill>
            <w14:solidFill>
              <w14:schemeClr w14:val="tx1"/>
            </w14:solidFill>
          </w14:textFill>
        </w:rPr>
        <w:t>二、 资格审查程序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D8822C6">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"_Toc1188" </w:instrText>
      </w:r>
      <w:r>
        <w:fldChar w:fldCharType="separate"/>
      </w:r>
      <w:r>
        <w:rPr>
          <w:rFonts w:hint="eastAsia"/>
          <w:color w:val="000000" w:themeColor="text1"/>
          <w14:textFill>
            <w14:solidFill>
              <w14:schemeClr w14:val="tx1"/>
            </w14:solidFill>
          </w14:textFill>
        </w:rPr>
        <w:t xml:space="preserve">三、 </w:t>
      </w:r>
      <w:r>
        <w:rPr>
          <w:rFonts w:hint="eastAsia" w:eastAsia="等线 Light" w:cs="宋体"/>
          <w:color w:val="000000" w:themeColor="text1"/>
          <w:kern w:val="0"/>
          <w:szCs w:val="21"/>
          <w14:textFill>
            <w14:solidFill>
              <w14:schemeClr w14:val="tx1"/>
            </w14:solidFill>
          </w14:textFill>
        </w:rPr>
        <w:t>资格审查标准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7FB4D5B">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"_Toc14034" </w:instrText>
      </w:r>
      <w:r>
        <w:fldChar w:fldCharType="separate"/>
      </w:r>
      <w:r>
        <w:rPr>
          <w:rFonts w:hint="eastAsia" w:ascii="宋体" w:eastAsia="黑体"/>
          <w:color w:val="000000" w:themeColor="text1"/>
          <w:kern w:val="44"/>
          <w:szCs w:val="44"/>
          <w14:textFill>
            <w14:solidFill>
              <w14:schemeClr w14:val="tx1"/>
            </w14:solidFill>
          </w14:textFill>
        </w:rPr>
        <w:t>第</w:t>
      </w:r>
      <w:r>
        <w:rPr>
          <w:rFonts w:hint="eastAsia"/>
          <w:color w:val="000000" w:themeColor="text1"/>
          <w:kern w:val="44"/>
          <w:szCs w:val="44"/>
          <w14:textFill>
            <w14:solidFill>
              <w14:schemeClr w14:val="tx1"/>
            </w14:solidFill>
          </w14:textFill>
        </w:rPr>
        <w:t>五</w:t>
      </w:r>
      <w:r>
        <w:rPr>
          <w:rFonts w:hint="eastAsia" w:ascii="宋体" w:eastAsia="黑体"/>
          <w:color w:val="000000" w:themeColor="text1"/>
          <w:kern w:val="44"/>
          <w:szCs w:val="44"/>
          <w14:textFill>
            <w14:solidFill>
              <w14:schemeClr w14:val="tx1"/>
            </w14:solidFill>
          </w14:textFill>
        </w:rPr>
        <w:t xml:space="preserve">章 </w:t>
      </w:r>
      <w:r>
        <w:rPr>
          <w:rFonts w:hint="eastAsia"/>
          <w:color w:val="000000" w:themeColor="text1"/>
          <w14:textFill>
            <w14:solidFill>
              <w14:schemeClr w14:val="tx1"/>
            </w14:solidFill>
          </w14:textFill>
        </w:rPr>
        <w:t>评标办法及标准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_Toc14034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8A196AE">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"_Toc7179" </w:instrText>
      </w:r>
      <w:r>
        <w:fldChar w:fldCharType="separate"/>
      </w:r>
      <w:r>
        <w:rPr>
          <w:rFonts w:hint="eastAsia"/>
          <w:color w:val="000000" w:themeColor="text1"/>
          <w:lang w:val="zh-CN"/>
          <w14:textFill>
            <w14:solidFill>
              <w14:schemeClr w14:val="tx1"/>
            </w14:solidFill>
          </w14:textFill>
        </w:rPr>
        <w:t>一、 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_Toc7179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BE2EF8E">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"_Toc25733" </w:instrText>
      </w:r>
      <w:r>
        <w:fldChar w:fldCharType="separate"/>
      </w:r>
      <w:r>
        <w:rPr>
          <w:rFonts w:hint="eastAsia"/>
          <w:color w:val="000000" w:themeColor="text1"/>
          <w:lang w:val="zh-CN"/>
          <w14:textFill>
            <w14:solidFill>
              <w14:schemeClr w14:val="tx1"/>
            </w14:solidFill>
          </w14:textFill>
        </w:rPr>
        <w:t>二、 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E3858B">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"_Toc16376" </w:instrText>
      </w:r>
      <w:r>
        <w:fldChar w:fldCharType="separate"/>
      </w:r>
      <w:r>
        <w:rPr>
          <w:rFonts w:hint="eastAsia"/>
          <w:color w:val="000000" w:themeColor="text1"/>
          <w:lang w:val="zh-CN"/>
          <w14:textFill>
            <w14:solidFill>
              <w14:schemeClr w14:val="tx1"/>
            </w14:solidFill>
          </w14:textFill>
        </w:rPr>
        <w:t>三、 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1F68B37">
      <w:pPr>
        <w:pStyle w:val="39"/>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"_Toc7565" </w:instrText>
      </w:r>
      <w:r>
        <w:fldChar w:fldCharType="separate"/>
      </w:r>
      <w:r>
        <w:rPr>
          <w:rFonts w:hint="eastAsia"/>
          <w:color w:val="000000" w:themeColor="text1"/>
          <w:lang w:val="zh-CN"/>
          <w14:textFill>
            <w14:solidFill>
              <w14:schemeClr w14:val="tx1"/>
            </w14:solidFill>
          </w14:textFill>
        </w:rPr>
        <w:t>（一）符合性审查表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_Toc7565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EF1C42A">
      <w:pPr>
        <w:pStyle w:val="39"/>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"_Toc8771" </w:instrText>
      </w:r>
      <w:r>
        <w:fldChar w:fldCharType="separate"/>
      </w:r>
      <w:r>
        <w:rPr>
          <w:rFonts w:hint="eastAsia"/>
          <w:color w:val="000000" w:themeColor="text1"/>
          <w:lang w:val="zh-CN"/>
          <w14:textFill>
            <w14:solidFill>
              <w14:schemeClr w14:val="tx1"/>
            </w14:solidFill>
          </w14:textFill>
        </w:rPr>
        <w:t>（二）评分标准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582077A">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"_Toc21747" </w:instrText>
      </w:r>
      <w:r>
        <w:fldChar w:fldCharType="separate"/>
      </w:r>
      <w:r>
        <w:rPr>
          <w:rFonts w:hint="eastAsia"/>
          <w:color w:val="000000" w:themeColor="text1"/>
          <w:szCs w:val="30"/>
          <w14:textFill>
            <w14:solidFill>
              <w14:schemeClr w14:val="tx1"/>
            </w14:solidFill>
          </w14:textFill>
        </w:rPr>
        <w:t>四、评标方法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F052ED6">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"_Toc28379" </w:instrText>
      </w:r>
      <w:r>
        <w:fldChar w:fldCharType="separate"/>
      </w:r>
      <w:r>
        <w:rPr>
          <w:rFonts w:hint="eastAsia"/>
          <w:color w:val="000000" w:themeColor="text1"/>
          <w:szCs w:val="30"/>
          <w14:textFill>
            <w14:solidFill>
              <w14:schemeClr w14:val="tx1"/>
            </w14:solidFill>
          </w14:textFill>
        </w:rPr>
        <w:t>五、评分标准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_Toc28379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F530A01">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"_Toc28137" </w:instrText>
      </w:r>
      <w:r>
        <w:fldChar w:fldCharType="separate"/>
      </w:r>
      <w:r>
        <w:rPr>
          <w:rFonts w:hint="eastAsia" w:ascii="宋体" w:eastAsia="黑体"/>
          <w:color w:val="000000" w:themeColor="text1"/>
          <w:kern w:val="44"/>
          <w:szCs w:val="44"/>
          <w:lang w:val="zh-CN"/>
          <w14:textFill>
            <w14:solidFill>
              <w14:schemeClr w14:val="tx1"/>
            </w14:solidFill>
          </w14:textFill>
        </w:rPr>
        <w:t>第</w:t>
      </w:r>
      <w:r>
        <w:rPr>
          <w:rFonts w:hint="eastAsia"/>
          <w:color w:val="000000" w:themeColor="text1"/>
          <w:kern w:val="44"/>
          <w:szCs w:val="44"/>
          <w:lang w:val="zh-CN"/>
          <w14:textFill>
            <w14:solidFill>
              <w14:schemeClr w14:val="tx1"/>
            </w14:solidFill>
          </w14:textFill>
        </w:rPr>
        <w:t>六</w:t>
      </w:r>
      <w:r>
        <w:rPr>
          <w:rFonts w:hint="eastAsia" w:ascii="宋体" w:eastAsia="黑体"/>
          <w:color w:val="000000" w:themeColor="text1"/>
          <w:kern w:val="44"/>
          <w:szCs w:val="44"/>
          <w:lang w:val="zh-CN"/>
          <w14:textFill>
            <w14:solidFill>
              <w14:schemeClr w14:val="tx1"/>
            </w14:solidFill>
          </w14:textFill>
        </w:rPr>
        <w:t xml:space="preserve">章 </w:t>
      </w:r>
      <w:r>
        <w:rPr>
          <w:rFonts w:hint="eastAsia"/>
          <w:color w:val="000000" w:themeColor="text1"/>
          <w:lang w:val="zh-CN"/>
          <w14:textFill>
            <w14:solidFill>
              <w14:schemeClr w14:val="tx1"/>
            </w14:solidFill>
          </w14:textFill>
        </w:rPr>
        <w:t>合同草案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_Toc28137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BD7FB59">
      <w:pPr>
        <w:pStyle w:val="54"/>
        <w:tabs>
          <w:tab w:val="right" w:leader="dot" w:pos="8306"/>
        </w:tabs>
        <w:spacing w:before="0" w:after="0" w:line="440" w:lineRule="exact"/>
        <w:rPr>
          <w:rFonts w:hint="eastAsia"/>
          <w:color w:val="000000" w:themeColor="text1"/>
          <w14:textFill>
            <w14:solidFill>
              <w14:schemeClr w14:val="tx1"/>
            </w14:solidFill>
          </w14:textFill>
        </w:rPr>
      </w:pPr>
      <w:r>
        <w:fldChar w:fldCharType="begin"/>
      </w:r>
      <w:r>
        <w:instrText xml:space="preserve"> HYPERLINK \l "_Toc8798" </w:instrText>
      </w:r>
      <w:r>
        <w:fldChar w:fldCharType="separate"/>
      </w:r>
      <w:r>
        <w:rPr>
          <w:rFonts w:hint="eastAsia" w:ascii="宋体" w:eastAsia="黑体"/>
          <w:color w:val="000000" w:themeColor="text1"/>
          <w:kern w:val="44"/>
          <w:szCs w:val="44"/>
          <w14:textFill>
            <w14:solidFill>
              <w14:schemeClr w14:val="tx1"/>
            </w14:solidFill>
          </w14:textFill>
        </w:rPr>
        <w:t>第</w:t>
      </w:r>
      <w:r>
        <w:rPr>
          <w:rFonts w:hint="eastAsia"/>
          <w:color w:val="000000" w:themeColor="text1"/>
          <w:kern w:val="44"/>
          <w:szCs w:val="44"/>
          <w14:textFill>
            <w14:solidFill>
              <w14:schemeClr w14:val="tx1"/>
            </w14:solidFill>
          </w14:textFill>
        </w:rPr>
        <w:t>七</w:t>
      </w:r>
      <w:r>
        <w:rPr>
          <w:rFonts w:hint="eastAsia" w:ascii="宋体" w:eastAsia="黑体"/>
          <w:color w:val="000000" w:themeColor="text1"/>
          <w:kern w:val="44"/>
          <w:szCs w:val="44"/>
          <w14:textFill>
            <w14:solidFill>
              <w14:schemeClr w14:val="tx1"/>
            </w14:solidFill>
          </w14:textFill>
        </w:rPr>
        <w:t xml:space="preserve">章 </w:t>
      </w:r>
      <w:r>
        <w:rPr>
          <w:color w:val="000000" w:themeColor="text1"/>
          <w14:textFill>
            <w14:solidFill>
              <w14:schemeClr w14:val="tx1"/>
            </w14:solidFill>
          </w14:textFill>
        </w:rPr>
        <w:t>投标文件的格式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C0E8165">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"_Toc26703" </w:instrText>
      </w:r>
      <w:r>
        <w:fldChar w:fldCharType="separate"/>
      </w:r>
      <w:r>
        <w:rPr>
          <w:rFonts w:hint="eastAsia"/>
          <w:color w:val="000000" w:themeColor="text1"/>
          <w:lang w:val="zh-CN"/>
          <w14:textFill>
            <w14:solidFill>
              <w14:schemeClr w14:val="tx1"/>
            </w14:solidFill>
          </w14:textFill>
        </w:rPr>
        <w:t>一、 投标函及报价文件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0F83F36">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"_Toc12140" </w:instrText>
      </w:r>
      <w:r>
        <w:fldChar w:fldCharType="separate"/>
      </w:r>
      <w:r>
        <w:rPr>
          <w:rFonts w:hint="eastAsia"/>
          <w:color w:val="000000" w:themeColor="text1"/>
          <w:lang w:val="zh-CN"/>
          <w14:textFill>
            <w14:solidFill>
              <w14:schemeClr w14:val="tx1"/>
            </w14:solidFill>
          </w14:textFill>
        </w:rPr>
        <w:t>二、 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FF23178">
      <w:pPr>
        <w:pStyle w:val="68"/>
        <w:tabs>
          <w:tab w:val="right" w:leader="dot" w:pos="8306"/>
        </w:tabs>
        <w:spacing w:line="440" w:lineRule="exact"/>
        <w:ind w:left="0"/>
        <w:rPr>
          <w:rFonts w:hint="eastAsia"/>
          <w:color w:val="000000" w:themeColor="text1"/>
          <w14:textFill>
            <w14:solidFill>
              <w14:schemeClr w14:val="tx1"/>
            </w14:solidFill>
          </w14:textFill>
        </w:rPr>
      </w:pPr>
      <w:r>
        <w:fldChar w:fldCharType="begin"/>
      </w:r>
      <w:r>
        <w:instrText xml:space="preserve"> HYPERLINK \l "_Toc21022" </w:instrText>
      </w:r>
      <w:r>
        <w:fldChar w:fldCharType="separate"/>
      </w:r>
      <w:r>
        <w:rPr>
          <w:rFonts w:hint="eastAsia"/>
          <w:color w:val="000000" w:themeColor="text1"/>
          <w:lang w:val="zh-CN"/>
          <w14:textFill>
            <w14:solidFill>
              <w14:schemeClr w14:val="tx1"/>
            </w14:solidFill>
          </w14:textFill>
        </w:rPr>
        <w:t>三、 其他响应文件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_Toc21022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ABB6471">
      <w:pPr>
        <w:spacing w:line="440" w:lineRule="exact"/>
        <w:rPr>
          <w:rFonts w:hint="eastAsia"/>
          <w:color w:val="000000" w:themeColor="text1"/>
          <w14:textFill>
            <w14:solidFill>
              <w14:schemeClr w14:val="tx1"/>
            </w14:solidFill>
          </w14:textFill>
        </w:rPr>
      </w:pPr>
      <w:r>
        <w:rPr>
          <w:color w:val="000000" w:themeColor="text1"/>
          <w14:textFill>
            <w14:solidFill>
              <w14:schemeClr w14:val="tx1"/>
            </w14:solidFill>
          </w14:textFill>
        </w:rPr>
        <w:fldChar w:fldCharType="end"/>
      </w:r>
    </w:p>
    <w:p w14:paraId="7C68C3CC">
      <w:pPr>
        <w:pStyle w:val="3"/>
        <w:spacing w:before="0" w:after="0" w:line="240" w:lineRule="auto"/>
        <w:rPr>
          <w:rFonts w:hint="eastAsia" w:cs="仿宋_GB2312"/>
          <w:color w:val="000000" w:themeColor="text1"/>
          <w:szCs w:val="24"/>
          <w14:textFill>
            <w14:solidFill>
              <w14:schemeClr w14:val="tx1"/>
            </w14:solidFill>
          </w14:textFill>
        </w:rPr>
      </w:pPr>
      <w:bookmarkStart w:id="1" w:name="_Toc14494"/>
      <w:bookmarkStart w:id="2" w:name="_Toc155185859"/>
      <w:r>
        <w:rPr>
          <w:rFonts w:hint="eastAsia"/>
          <w:color w:val="000000" w:themeColor="text1"/>
          <w14:textFill>
            <w14:solidFill>
              <w14:schemeClr w14:val="tx1"/>
            </w14:solidFill>
          </w14:textFill>
        </w:rPr>
        <w:t>第一章  投标邀请</w:t>
      </w:r>
      <w:bookmarkEnd w:id="1"/>
      <w:bookmarkEnd w:id="2"/>
      <w:bookmarkStart w:id="3" w:name="_Hlk130458318"/>
    </w:p>
    <w:p w14:paraId="1EFC266E">
      <w:pPr>
        <w:pStyle w:val="4"/>
        <w:spacing w:before="0" w:after="0" w:line="520" w:lineRule="exact"/>
        <w:ind w:hanging="420"/>
        <w:rPr>
          <w:rFonts w:hint="eastAsia"/>
          <w:color w:val="000000" w:themeColor="text1"/>
          <w14:textFill>
            <w14:solidFill>
              <w14:schemeClr w14:val="tx1"/>
            </w14:solidFill>
          </w14:textFill>
        </w:rPr>
      </w:pPr>
      <w:bookmarkStart w:id="4" w:name="_Toc44583628"/>
      <w:bookmarkStart w:id="5" w:name="_Toc140132745"/>
      <w:bookmarkStart w:id="6" w:name="_Toc155185860"/>
      <w:bookmarkStart w:id="7" w:name="_Toc28359012"/>
      <w:bookmarkStart w:id="8" w:name="_Toc35393798"/>
      <w:bookmarkStart w:id="9" w:name="_Toc109900248"/>
      <w:bookmarkStart w:id="10" w:name="_Toc28359089"/>
      <w:bookmarkStart w:id="11" w:name="_Toc109899829"/>
      <w:bookmarkStart w:id="12" w:name="_Toc35393629"/>
      <w:bookmarkStart w:id="13" w:name="_Toc4129"/>
      <w:bookmarkStart w:id="14" w:name="_Toc109899410"/>
      <w:r>
        <w:rPr>
          <w:rFonts w:hint="eastAsia"/>
          <w:color w:val="000000" w:themeColor="text1"/>
          <w14:textFill>
            <w14:solidFill>
              <w14:schemeClr w14:val="tx1"/>
            </w14:solidFill>
          </w14:textFill>
        </w:rPr>
        <w:t>一、项目基本情况</w:t>
      </w:r>
      <w:bookmarkEnd w:id="4"/>
      <w:bookmarkEnd w:id="5"/>
      <w:bookmarkEnd w:id="6"/>
      <w:bookmarkEnd w:id="7"/>
      <w:bookmarkEnd w:id="8"/>
      <w:bookmarkEnd w:id="9"/>
      <w:bookmarkEnd w:id="10"/>
      <w:bookmarkEnd w:id="11"/>
      <w:bookmarkEnd w:id="12"/>
      <w:bookmarkEnd w:id="13"/>
      <w:bookmarkEnd w:id="14"/>
    </w:p>
    <w:p w14:paraId="6484439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采购计划备案号：420804-2025-00478</w:t>
      </w:r>
    </w:p>
    <w:p w14:paraId="74B7B2E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2.项目编号：DDZFCG2025(G-004)-008 </w:t>
      </w:r>
    </w:p>
    <w:p w14:paraId="40825A7D">
      <w:pPr>
        <w:pStyle w:val="91"/>
        <w:wordWrap/>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军马场学校初中部新建项目智慧校园设备采购（二次）包4校园数字广播、灯光、音响、舞台设备、移动直播设备</w:t>
      </w:r>
    </w:p>
    <w:p w14:paraId="508694F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采购方式：</w:t>
      </w:r>
      <w:r>
        <w:rPr>
          <w:rFonts w:hint="eastAsia"/>
          <w:color w:val="000000" w:themeColor="text1"/>
          <w:u w:val="single"/>
          <w14:textFill>
            <w14:solidFill>
              <w14:schemeClr w14:val="tx1"/>
            </w14:solidFill>
          </w14:textFill>
        </w:rPr>
        <w:t>公开招标</w:t>
      </w:r>
    </w:p>
    <w:p w14:paraId="079EAAAC">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预算金额：</w:t>
      </w:r>
      <w:r>
        <w:rPr>
          <w:rFonts w:hint="eastAsia"/>
          <w:color w:val="000000" w:themeColor="text1"/>
          <w:u w:val="single"/>
          <w:lang w:val="en-US"/>
          <w14:textFill>
            <w14:solidFill>
              <w14:schemeClr w14:val="tx1"/>
            </w14:solidFill>
          </w14:textFill>
        </w:rPr>
        <w:t>284.7</w:t>
      </w:r>
      <w:r>
        <w:rPr>
          <w:rFonts w:hint="eastAsia"/>
          <w:color w:val="000000" w:themeColor="text1"/>
          <w14:textFill>
            <w14:solidFill>
              <w14:schemeClr w14:val="tx1"/>
            </w14:solidFill>
          </w14:textFill>
        </w:rPr>
        <w:t>万元</w:t>
      </w:r>
    </w:p>
    <w:p w14:paraId="6D1EF783">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最高限价：</w:t>
      </w:r>
      <w:r>
        <w:rPr>
          <w:rFonts w:hint="eastAsia"/>
          <w:color w:val="000000" w:themeColor="text1"/>
          <w:u w:val="single"/>
          <w:lang w:val="en-US"/>
          <w14:textFill>
            <w14:solidFill>
              <w14:schemeClr w14:val="tx1"/>
            </w14:solidFill>
          </w14:textFill>
        </w:rPr>
        <w:t>284.7</w:t>
      </w:r>
      <w:r>
        <w:rPr>
          <w:rFonts w:hint="eastAsia"/>
          <w:color w:val="000000" w:themeColor="text1"/>
          <w14:textFill>
            <w14:solidFill>
              <w14:schemeClr w14:val="tx1"/>
            </w14:solidFill>
          </w14:textFill>
        </w:rPr>
        <w:t>万元</w:t>
      </w:r>
    </w:p>
    <w:p w14:paraId="07839B75">
      <w:pPr>
        <w:spacing w:line="520" w:lineRule="exact"/>
        <w:ind w:firstLine="480" w:firstLineChars="200"/>
        <w:rPr>
          <w:rFonts w:hint="eastAsia"/>
          <w:color w:val="000000" w:themeColor="text1"/>
          <w:u w:val="single"/>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采购需求：</w:t>
      </w:r>
      <w:r>
        <w:rPr>
          <w:rFonts w:hint="eastAsia"/>
          <w:color w:val="000000" w:themeColor="text1"/>
          <w:u w:val="single"/>
          <w14:textFill>
            <w14:solidFill>
              <w14:schemeClr w14:val="tx1"/>
            </w14:solidFill>
          </w14:textFill>
        </w:rPr>
        <w:t>详见采购文件第三章。</w:t>
      </w:r>
    </w:p>
    <w:p w14:paraId="4F7D142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合同履行期限</w:t>
      </w:r>
      <w:r>
        <w:rPr>
          <w:rFonts w:hint="eastAsia"/>
          <w:color w:val="000000" w:themeColor="text1"/>
          <w:shd w:val="clear" w:color="auto" w:fill="auto"/>
          <w14:textFill>
            <w14:solidFill>
              <w14:schemeClr w14:val="tx1"/>
            </w14:solidFill>
          </w14:textFill>
        </w:rPr>
        <w:t>：</w:t>
      </w:r>
      <w:r>
        <w:rPr>
          <w:rFonts w:hint="eastAsia"/>
          <w:color w:val="000000" w:themeColor="text1"/>
          <w:u w:val="single"/>
          <w:shd w:val="clear" w:color="auto" w:fill="auto"/>
          <w14:textFill>
            <w14:solidFill>
              <w14:schemeClr w14:val="tx1"/>
            </w14:solidFill>
          </w14:textFill>
        </w:rPr>
        <w:t>自合同签订之日起</w:t>
      </w:r>
      <w:r>
        <w:rPr>
          <w:rFonts w:hint="eastAsia"/>
          <w:color w:val="000000" w:themeColor="text1"/>
          <w:u w:val="single"/>
          <w:shd w:val="clear" w:color="auto" w:fill="auto"/>
          <w:lang w:val="en-US"/>
          <w14:textFill>
            <w14:solidFill>
              <w14:schemeClr w14:val="tx1"/>
            </w14:solidFill>
          </w14:textFill>
        </w:rPr>
        <w:t>45日历天</w:t>
      </w:r>
      <w:r>
        <w:rPr>
          <w:rFonts w:hint="eastAsia"/>
          <w:color w:val="000000" w:themeColor="text1"/>
          <w:u w:val="single"/>
          <w:shd w:val="clear" w:color="auto" w:fill="auto"/>
          <w14:textFill>
            <w14:solidFill>
              <w14:schemeClr w14:val="tx1"/>
            </w14:solidFill>
          </w14:textFill>
        </w:rPr>
        <w:t>完成调试，并通过验收</w:t>
      </w:r>
      <w:r>
        <w:rPr>
          <w:rFonts w:hint="eastAsia"/>
          <w:color w:val="000000" w:themeColor="text1"/>
          <w:u w:val="single"/>
          <w:shd w:val="clear" w:color="auto" w:fill="auto"/>
          <w:lang w:val="en-US"/>
          <w14:textFill>
            <w14:solidFill>
              <w14:schemeClr w14:val="tx1"/>
            </w14:solidFill>
          </w14:textFill>
        </w:rPr>
        <w:t>。</w:t>
      </w:r>
    </w:p>
    <w:p w14:paraId="4CCF97DC">
      <w:pPr>
        <w:spacing w:line="520" w:lineRule="exact"/>
        <w:ind w:firstLine="480" w:firstLineChars="200"/>
        <w:rPr>
          <w:rFonts w:hint="eastAsia"/>
          <w:color w:val="000000" w:themeColor="text1"/>
          <w:szCs w:val="24"/>
          <w14:textFill>
            <w14:solidFill>
              <w14:schemeClr w14:val="tx1"/>
            </w14:solidFill>
          </w14:textFill>
        </w:rPr>
      </w:pPr>
      <w:bookmarkStart w:id="15" w:name="_Toc28359013"/>
      <w:bookmarkStart w:id="16" w:name="_Toc35393799"/>
      <w:bookmarkStart w:id="17" w:name="_Toc44583629"/>
      <w:bookmarkStart w:id="18" w:name="_Toc28359090"/>
      <w:bookmarkStart w:id="19" w:name="_Toc35393630"/>
      <w:r>
        <w:rPr>
          <w:rFonts w:hint="eastAsia"/>
          <w:color w:val="000000" w:themeColor="text1"/>
          <w:szCs w:val="24"/>
          <w14:textFill>
            <w14:solidFill>
              <w14:schemeClr w14:val="tx1"/>
            </w14:solidFill>
          </w14:textFill>
        </w:rPr>
        <w:t>9.</w:t>
      </w:r>
      <w:r>
        <w:rPr>
          <w:rFonts w:hint="eastAsia"/>
          <w:color w:val="000000" w:themeColor="text1"/>
          <w:szCs w:val="24"/>
          <w14:textFill>
            <w14:solidFill>
              <w14:schemeClr w14:val="tx1"/>
            </w14:solidFill>
          </w14:textFill>
        </w:rPr>
        <w:tab/>
      </w:r>
      <w:r>
        <w:rPr>
          <w:rFonts w:hint="eastAsia"/>
          <w:color w:val="000000" w:themeColor="text1"/>
          <w:szCs w:val="24"/>
          <w14:textFill>
            <w14:solidFill>
              <w14:schemeClr w14:val="tx1"/>
            </w14:solidFill>
          </w14:textFill>
        </w:rPr>
        <w:t>是否接受联合体：否</w:t>
      </w:r>
    </w:p>
    <w:p w14:paraId="1A265017">
      <w:pPr>
        <w:spacing w:line="520" w:lineRule="exact"/>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10.是否可采购进口产品：否 </w:t>
      </w:r>
    </w:p>
    <w:p w14:paraId="7D84DC2B">
      <w:pPr>
        <w:spacing w:line="520" w:lineRule="exact"/>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11.是否接受合同分包：否  </w:t>
      </w:r>
    </w:p>
    <w:p w14:paraId="62C925B0">
      <w:pPr>
        <w:spacing w:line="520" w:lineRule="exact"/>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12.是否专门面向中小微企业：否 </w:t>
      </w:r>
    </w:p>
    <w:p w14:paraId="53CB6CF4">
      <w:pPr>
        <w:spacing w:line="520" w:lineRule="exact"/>
        <w:ind w:firstLine="480" w:firstLineChars="200"/>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13.中小微企业报价优惠：20%</w:t>
      </w:r>
    </w:p>
    <w:p w14:paraId="55905C39">
      <w:pPr>
        <w:pStyle w:val="4"/>
        <w:spacing w:before="0" w:after="0" w:line="520" w:lineRule="exact"/>
        <w:ind w:hanging="420"/>
        <w:rPr>
          <w:rFonts w:hint="eastAsia" w:cs="宋体"/>
          <w:color w:val="000000" w:themeColor="text1"/>
          <w14:textFill>
            <w14:solidFill>
              <w14:schemeClr w14:val="tx1"/>
            </w14:solidFill>
          </w14:textFill>
        </w:rPr>
      </w:pPr>
      <w:bookmarkStart w:id="20" w:name="_Toc109899830"/>
      <w:bookmarkStart w:id="21" w:name="_Toc155185861"/>
      <w:bookmarkStart w:id="22" w:name="_Toc109899411"/>
      <w:bookmarkStart w:id="23" w:name="_Toc109900249"/>
      <w:bookmarkStart w:id="24" w:name="_Toc140132746"/>
      <w:bookmarkStart w:id="25" w:name="_Toc31773"/>
      <w:r>
        <w:rPr>
          <w:rFonts w:hint="eastAsia" w:cs="宋体"/>
          <w:color w:val="000000" w:themeColor="text1"/>
          <w14:textFill>
            <w14:solidFill>
              <w14:schemeClr w14:val="tx1"/>
            </w14:solidFill>
          </w14:textFill>
        </w:rPr>
        <w:t>二、</w:t>
      </w:r>
      <w:r>
        <w:rPr>
          <w:rFonts w:hint="eastAsia"/>
          <w:color w:val="000000" w:themeColor="text1"/>
          <w14:textFill>
            <w14:solidFill>
              <w14:schemeClr w14:val="tx1"/>
            </w14:solidFill>
          </w14:textFill>
        </w:rPr>
        <w:t>投标人资格要求</w:t>
      </w:r>
      <w:bookmarkEnd w:id="15"/>
      <w:bookmarkEnd w:id="16"/>
      <w:bookmarkEnd w:id="17"/>
      <w:bookmarkEnd w:id="18"/>
      <w:bookmarkEnd w:id="19"/>
      <w:bookmarkEnd w:id="20"/>
      <w:bookmarkEnd w:id="21"/>
      <w:bookmarkEnd w:id="22"/>
      <w:bookmarkEnd w:id="23"/>
      <w:bookmarkEnd w:id="24"/>
      <w:bookmarkEnd w:id="25"/>
    </w:p>
    <w:p w14:paraId="573F007C">
      <w:pPr>
        <w:spacing w:line="520" w:lineRule="exact"/>
        <w:rPr>
          <w:rFonts w:hint="eastAsia"/>
          <w:color w:val="000000" w:themeColor="text1"/>
          <w14:textFill>
            <w14:solidFill>
              <w14:schemeClr w14:val="tx1"/>
            </w14:solidFill>
          </w14:textFill>
        </w:rPr>
      </w:pPr>
      <w:bookmarkStart w:id="26" w:name="_Hlk89807755"/>
      <w:bookmarkStart w:id="27" w:name="_Toc35393800"/>
      <w:bookmarkStart w:id="28" w:name="_Toc35393631"/>
      <w:bookmarkStart w:id="29" w:name="_Toc44583630"/>
      <w:bookmarkStart w:id="30" w:name="_Toc28359014"/>
      <w:bookmarkStart w:id="31" w:name="_Toc28359091"/>
      <w:r>
        <w:rPr>
          <w:rFonts w:hint="eastAsia"/>
          <w:color w:val="000000" w:themeColor="text1"/>
          <w14:textFill>
            <w14:solidFill>
              <w14:schemeClr w14:val="tx1"/>
            </w14:solidFill>
          </w14:textFill>
        </w:rPr>
        <w:t>1、满足《中华人民共和国政府采购法》第二十二条规定，即：</w:t>
      </w:r>
    </w:p>
    <w:p w14:paraId="65247388">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（1）具有独立承担民事责任的能力；</w:t>
      </w:r>
    </w:p>
    <w:p w14:paraId="5A99DE7F">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（2）具有良好的商业信誉和健全的财务会计制度；</w:t>
      </w:r>
    </w:p>
    <w:p w14:paraId="6FFF4315">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（3）具有履行合同所必需的设备和专业技术能力；</w:t>
      </w:r>
    </w:p>
    <w:p w14:paraId="6135DCDD">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（4）有依法缴纳税收和社会保障资金的良好记录；</w:t>
      </w:r>
    </w:p>
    <w:p w14:paraId="3F890543">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（5）参加政府采购活动前三年内，在经营活动中没有重大违法记录；</w:t>
      </w:r>
    </w:p>
    <w:p w14:paraId="6577869D">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（6）法律、行政法规规定的其他条件。</w:t>
      </w:r>
    </w:p>
    <w:p w14:paraId="6E0DC8E2">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2、单位负责人为同一人或者存在直接控股、管理关系的不同投标人，不得参加本项目同一合同项下的政府采购活动。</w:t>
      </w:r>
    </w:p>
    <w:p w14:paraId="2E6D1114">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3、为本采购项目提供整体设计、规范编制或者项目管理、监理、检测等服务的，不得再参加本项目的其他招标采购活动。</w:t>
      </w:r>
    </w:p>
    <w:p w14:paraId="4F433520">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4、未被列入失信被执行人、重大税收违法失信主体，未被列入政府采购严重违法失信行为记录名单。</w:t>
      </w:r>
    </w:p>
    <w:p w14:paraId="771B74F8">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5、落实政府采购政策需满足的资格要求：</w:t>
      </w:r>
    </w:p>
    <w:p w14:paraId="1296484F">
      <w:pPr>
        <w:spacing w:line="52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落实政府采购强制、优先采购节能产品政策；政府采购优先采购环保产品政策；政府采购促进中小企业发展（监狱企业、残疾人福利性单位视同小微企业）等政策。</w:t>
      </w:r>
    </w:p>
    <w:p w14:paraId="2521A273">
      <w:pPr>
        <w:spacing w:line="52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投标人特定资格要求：无。</w:t>
      </w:r>
    </w:p>
    <w:bookmarkEnd w:id="26"/>
    <w:p w14:paraId="70FE6619">
      <w:pPr>
        <w:pStyle w:val="4"/>
        <w:spacing w:before="0" w:after="0" w:line="520" w:lineRule="exact"/>
        <w:ind w:hanging="420"/>
        <w:rPr>
          <w:rFonts w:hint="eastAsia"/>
          <w:color w:val="000000" w:themeColor="text1"/>
          <w14:textFill>
            <w14:solidFill>
              <w14:schemeClr w14:val="tx1"/>
            </w14:solidFill>
          </w14:textFill>
        </w:rPr>
      </w:pPr>
      <w:bookmarkStart w:id="32" w:name="_Toc109899412"/>
      <w:bookmarkStart w:id="33" w:name="_Toc7436"/>
      <w:bookmarkStart w:id="34" w:name="_Toc155185862"/>
      <w:bookmarkStart w:id="35" w:name="_Toc140132747"/>
      <w:bookmarkStart w:id="36" w:name="_Toc109899831"/>
      <w:bookmarkStart w:id="37" w:name="_Toc109900250"/>
      <w:r>
        <w:rPr>
          <w:rFonts w:hint="eastAsia"/>
          <w:color w:val="000000" w:themeColor="text1"/>
          <w14:textFill>
            <w14:solidFill>
              <w14:schemeClr w14:val="tx1"/>
            </w14:solidFill>
          </w14:textFill>
        </w:rPr>
        <w:t>三、获取招标文件</w:t>
      </w:r>
      <w:bookmarkEnd w:id="27"/>
      <w:bookmarkEnd w:id="28"/>
      <w:bookmarkEnd w:id="29"/>
      <w:bookmarkEnd w:id="30"/>
      <w:bookmarkEnd w:id="31"/>
      <w:bookmarkEnd w:id="32"/>
      <w:bookmarkEnd w:id="33"/>
      <w:bookmarkEnd w:id="34"/>
      <w:bookmarkEnd w:id="35"/>
      <w:bookmarkEnd w:id="36"/>
      <w:bookmarkEnd w:id="37"/>
      <w:r>
        <w:rPr>
          <w:rFonts w:hint="eastAsia"/>
          <w:color w:val="000000" w:themeColor="text1"/>
          <w14:textFill>
            <w14:solidFill>
              <w14:schemeClr w14:val="tx1"/>
            </w14:solidFill>
          </w14:textFill>
        </w:rPr>
        <w:t xml:space="preserve"> </w:t>
      </w:r>
    </w:p>
    <w:p w14:paraId="2FFAF899">
      <w:pPr>
        <w:pStyle w:val="91"/>
        <w:wordWrap/>
        <w:rPr>
          <w:rFonts w:hint="eastAsia"/>
          <w:color w:val="000000" w:themeColor="text1"/>
          <w14:textFill>
            <w14:solidFill>
              <w14:schemeClr w14:val="tx1"/>
            </w14:solidFill>
          </w14:textFill>
        </w:rPr>
      </w:pPr>
      <w:bookmarkStart w:id="38" w:name="_Toc35393801"/>
      <w:bookmarkStart w:id="39" w:name="_Toc28359015"/>
      <w:bookmarkStart w:id="40" w:name="_Toc28359092"/>
      <w:bookmarkStart w:id="41" w:name="_Hlk130457261"/>
      <w:bookmarkStart w:id="42" w:name="_Toc35393632"/>
      <w:bookmarkStart w:id="43" w:name="_Hlk130457327"/>
      <w:bookmarkStart w:id="44" w:name="_Toc109899832"/>
      <w:bookmarkStart w:id="45" w:name="_Toc109900251"/>
      <w:bookmarkStart w:id="46" w:name="_Toc109899413"/>
      <w:bookmarkStart w:id="47" w:name="_Toc155185863"/>
      <w:bookmarkStart w:id="48" w:name="_Toc140132748"/>
      <w:r>
        <w:rPr>
          <w:rFonts w:hint="eastAsia"/>
          <w:color w:val="000000" w:themeColor="text1"/>
          <w14:textFill>
            <w14:solidFill>
              <w14:schemeClr w14:val="tx1"/>
            </w14:solidFill>
          </w14:textFill>
        </w:rPr>
        <w:t>1.时间：2025年6月2</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日0时0分至2025年7月</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日23时59分（北京时间）。</w:t>
      </w:r>
    </w:p>
    <w:p w14:paraId="18444A2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2.地点：掇刀区政府采购电子交易平台（http://dd.hbncp.com.cn）。</w:t>
      </w:r>
    </w:p>
    <w:p w14:paraId="5FDA214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方式：登陆掇刀区政府采购电子交易平台（http://dd.hbncp.com.cn），进行主体机构注册、报名，报名成功后在上述规定的时间内完成下载电子版的招标文件、上传响应文件等操作。供应商应在此网站完成主体机构注册、办理电子签章；网上主体机构注册及电子签章相关事宜可拨打电话400-112-9919或咨询客服（QQ：2670975061或2372645290）。 </w:t>
      </w:r>
      <w:r>
        <w:rPr>
          <w:color w:val="000000" w:themeColor="text1"/>
          <w:lang w:val="hr-HR"/>
          <w14:textFill>
            <w14:solidFill>
              <w14:schemeClr w14:val="tx1"/>
            </w14:solidFill>
          </w14:textFill>
        </w:rPr>
        <w:t xml:space="preserve"> </w:t>
      </w:r>
    </w:p>
    <w:bookmarkEnd w:id="38"/>
    <w:bookmarkEnd w:id="39"/>
    <w:bookmarkEnd w:id="40"/>
    <w:bookmarkEnd w:id="41"/>
    <w:bookmarkEnd w:id="42"/>
    <w:bookmarkEnd w:id="43"/>
    <w:p w14:paraId="4EA9D6DC">
      <w:pPr>
        <w:pStyle w:val="4"/>
        <w:spacing w:before="0" w:after="0" w:line="520" w:lineRule="exact"/>
        <w:ind w:hanging="420"/>
        <w:rPr>
          <w:rFonts w:hint="eastAsia"/>
          <w:color w:val="000000" w:themeColor="text1"/>
          <w14:textFill>
            <w14:solidFill>
              <w14:schemeClr w14:val="tx1"/>
            </w14:solidFill>
          </w14:textFill>
        </w:rPr>
      </w:pPr>
      <w:bookmarkStart w:id="49" w:name="_Toc5704"/>
      <w:r>
        <w:rPr>
          <w:rFonts w:hint="eastAsia"/>
          <w:color w:val="000000" w:themeColor="text1"/>
          <w14:textFill>
            <w14:solidFill>
              <w14:schemeClr w14:val="tx1"/>
            </w14:solidFill>
          </w14:textFill>
        </w:rPr>
        <w:t>四、提交投标文件截止时间、方式、开标时间</w:t>
      </w:r>
      <w:bookmarkEnd w:id="44"/>
      <w:bookmarkEnd w:id="45"/>
      <w:bookmarkEnd w:id="46"/>
      <w:r>
        <w:rPr>
          <w:rFonts w:hint="eastAsia"/>
          <w:color w:val="000000" w:themeColor="text1"/>
          <w14:textFill>
            <w14:solidFill>
              <w14:schemeClr w14:val="tx1"/>
            </w14:solidFill>
          </w14:textFill>
        </w:rPr>
        <w:t>和地点</w:t>
      </w:r>
      <w:bookmarkEnd w:id="47"/>
      <w:bookmarkEnd w:id="48"/>
      <w:bookmarkEnd w:id="49"/>
    </w:p>
    <w:p w14:paraId="2F6CBF63">
      <w:pPr>
        <w:spacing w:line="520" w:lineRule="exact"/>
        <w:ind w:firstLine="480" w:firstLineChars="200"/>
        <w:rPr>
          <w:rFonts w:hint="eastAsia"/>
          <w:color w:val="000000" w:themeColor="text1"/>
          <w14:textFill>
            <w14:solidFill>
              <w14:schemeClr w14:val="tx1"/>
            </w14:solidFill>
          </w14:textFill>
        </w:rPr>
      </w:pPr>
      <w:bookmarkStart w:id="50" w:name="_Hlk130457395"/>
      <w:bookmarkStart w:id="51" w:name="_Toc13935"/>
      <w:bookmarkStart w:id="52" w:name="_Toc35393803"/>
      <w:bookmarkStart w:id="53" w:name="_Toc109899414"/>
      <w:bookmarkStart w:id="54" w:name="_Toc155185864"/>
      <w:bookmarkStart w:id="55" w:name="_Toc28359094"/>
      <w:bookmarkStart w:id="56" w:name="_Toc140132749"/>
      <w:bookmarkStart w:id="57" w:name="_Toc109900252"/>
      <w:bookmarkStart w:id="58" w:name="_Toc109899833"/>
      <w:bookmarkStart w:id="59" w:name="_Toc44583633"/>
      <w:bookmarkStart w:id="60" w:name="_Toc35393634"/>
      <w:bookmarkStart w:id="61" w:name="_Toc28359017"/>
      <w:r>
        <w:rPr>
          <w:rFonts w:hint="eastAsia"/>
          <w:color w:val="000000" w:themeColor="text1"/>
          <w14:textFill>
            <w14:solidFill>
              <w14:schemeClr w14:val="tx1"/>
            </w14:solidFill>
          </w14:textFill>
        </w:rPr>
        <w:t>1.开始时间： 2025年7月</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日0时00分（北京时间）。</w:t>
      </w:r>
    </w:p>
    <w:p w14:paraId="054E77FB">
      <w:pPr>
        <w:spacing w:line="52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2.截止时间： 2025年7月1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日9时30分（北京时间）。</w:t>
      </w:r>
    </w:p>
    <w:p w14:paraId="75623A6A">
      <w:pPr>
        <w:spacing w:line="52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3.递交方式：2025年7月1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日9点30分前，进入掇刀区政府采购电子交易平台（http://dd.hbncp.com.cn）进行递交。</w:t>
      </w:r>
    </w:p>
    <w:p w14:paraId="25E09581">
      <w:pPr>
        <w:spacing w:line="52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4.开标时间： 2025年7月1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日9时30分（北京时间）。</w:t>
      </w:r>
    </w:p>
    <w:p w14:paraId="251A8970">
      <w:pPr>
        <w:spacing w:line="52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5.开标方式：2025年7月1</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日09点30分至10点00分，进入掇刀区政府采购电子交易平台（http://dd.hbncp.com.cn）使用电脑远程解密开启文件，并在线开标（供应商不用到开标现场）。</w:t>
      </w:r>
    </w:p>
    <w:bookmarkEnd w:id="50"/>
    <w:p w14:paraId="395800C9">
      <w:pPr>
        <w:pStyle w:val="4"/>
        <w:spacing w:before="0" w:after="0" w:line="520" w:lineRule="exact"/>
        <w:ind w:hanging="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五、公告期限</w:t>
      </w:r>
      <w:bookmarkEnd w:id="51"/>
      <w:bookmarkEnd w:id="52"/>
      <w:bookmarkEnd w:id="53"/>
      <w:bookmarkEnd w:id="54"/>
      <w:bookmarkEnd w:id="55"/>
      <w:bookmarkEnd w:id="56"/>
      <w:bookmarkEnd w:id="57"/>
      <w:bookmarkEnd w:id="58"/>
      <w:bookmarkEnd w:id="59"/>
      <w:bookmarkEnd w:id="60"/>
      <w:bookmarkEnd w:id="61"/>
    </w:p>
    <w:p w14:paraId="7AEA0CF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自招标公告发布之日起5个工作日。</w:t>
      </w:r>
    </w:p>
    <w:p w14:paraId="3DC8DD61">
      <w:pPr>
        <w:pStyle w:val="4"/>
        <w:spacing w:before="0" w:after="0" w:line="520" w:lineRule="exact"/>
        <w:ind w:hanging="420"/>
        <w:rPr>
          <w:rFonts w:hint="eastAsia"/>
          <w:color w:val="000000" w:themeColor="text1"/>
          <w14:textFill>
            <w14:solidFill>
              <w14:schemeClr w14:val="tx1"/>
            </w14:solidFill>
          </w14:textFill>
        </w:rPr>
      </w:pPr>
      <w:bookmarkStart w:id="62" w:name="_Toc35393635"/>
      <w:bookmarkStart w:id="63" w:name="_Toc35393804"/>
      <w:bookmarkStart w:id="64" w:name="_Toc109899415"/>
      <w:bookmarkStart w:id="65" w:name="_Toc4762"/>
      <w:bookmarkStart w:id="66" w:name="_Toc140132750"/>
      <w:bookmarkStart w:id="67" w:name="_Toc109899834"/>
      <w:bookmarkStart w:id="68" w:name="_Toc44583634"/>
      <w:bookmarkStart w:id="69" w:name="_Toc155185865"/>
      <w:bookmarkStart w:id="70" w:name="_Toc109900253"/>
      <w:r>
        <w:rPr>
          <w:rFonts w:hint="eastAsia"/>
          <w:color w:val="000000" w:themeColor="text1"/>
          <w14:textFill>
            <w14:solidFill>
              <w14:schemeClr w14:val="tx1"/>
            </w14:solidFill>
          </w14:textFill>
        </w:rPr>
        <w:t>六、其他补充事宜</w:t>
      </w:r>
      <w:bookmarkEnd w:id="62"/>
      <w:bookmarkEnd w:id="63"/>
      <w:bookmarkEnd w:id="64"/>
      <w:bookmarkEnd w:id="65"/>
      <w:bookmarkEnd w:id="66"/>
      <w:bookmarkEnd w:id="67"/>
      <w:bookmarkEnd w:id="68"/>
      <w:bookmarkEnd w:id="69"/>
      <w:bookmarkEnd w:id="70"/>
    </w:p>
    <w:p w14:paraId="633B6DA1">
      <w:pPr>
        <w:spacing w:line="520" w:lineRule="exact"/>
        <w:ind w:firstLine="480" w:firstLineChars="200"/>
        <w:rPr>
          <w:rFonts w:hint="eastAsia" w:cs="宋体"/>
          <w:color w:val="000000" w:themeColor="text1"/>
          <w:kern w:val="0"/>
          <w:szCs w:val="24"/>
          <w:lang w:val="zh-CN"/>
          <w14:textFill>
            <w14:solidFill>
              <w14:schemeClr w14:val="tx1"/>
            </w14:solidFill>
          </w14:textFill>
        </w:rPr>
      </w:pPr>
      <w:bookmarkStart w:id="71" w:name="_Toc44583635"/>
      <w:bookmarkStart w:id="72" w:name="_Toc28359095"/>
      <w:bookmarkStart w:id="73" w:name="_Toc109900254"/>
      <w:bookmarkStart w:id="74" w:name="_Toc28359018"/>
      <w:bookmarkStart w:id="75" w:name="_Toc109899835"/>
      <w:bookmarkStart w:id="76" w:name="_Toc155185866"/>
      <w:bookmarkStart w:id="77" w:name="_Toc140132751"/>
      <w:bookmarkStart w:id="78" w:name="_Toc35393805"/>
      <w:bookmarkStart w:id="79" w:name="_Toc35393636"/>
      <w:bookmarkStart w:id="80" w:name="_Toc109899416"/>
      <w:r>
        <w:rPr>
          <w:rFonts w:hint="eastAsia"/>
          <w:color w:val="000000" w:themeColor="text1"/>
          <w14:textFill>
            <w14:solidFill>
              <w14:schemeClr w14:val="tx1"/>
            </w14:solidFill>
          </w14:textFill>
        </w:rPr>
        <w:t xml:space="preserve"> </w:t>
      </w:r>
      <w:r>
        <w:rPr>
          <w:rFonts w:hint="eastAsia" w:cs="宋体"/>
          <w:color w:val="000000" w:themeColor="text1"/>
          <w:kern w:val="0"/>
          <w:szCs w:val="24"/>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s="宋体"/>
          <w:color w:val="000000" w:themeColor="text1"/>
          <w:kern w:val="0"/>
          <w:szCs w:val="24"/>
          <w:lang w:val="zh-CN"/>
          <w14:textFill>
            <w14:solidFill>
              <w14:schemeClr w14:val="tx1"/>
            </w14:solidFill>
          </w14:textFill>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中对应的3%—5%、1%—2%的规定执行。对小微企业中的残疾人企业、监狱企业、采购产品纳入创新产品应用示范推荐目录内企业、采购产品获得节能产品或环境标志产品认证证书的企业，以价格评审优惠幅度的上限给予评审优惠。</w:t>
      </w:r>
    </w:p>
    <w:p w14:paraId="79D8B938">
      <w:pPr>
        <w:spacing w:line="520" w:lineRule="exact"/>
        <w:ind w:firstLine="480" w:firstLineChars="200"/>
        <w:rPr>
          <w:rFonts w:hint="eastAsia"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2.“政采贷”线上申请渠道：登陆掇刀区政府采购合同融资平台（http://218.200.85.85:9999/duodao）申请。</w:t>
      </w:r>
    </w:p>
    <w:p w14:paraId="3685E01D">
      <w:pPr>
        <w:spacing w:line="520" w:lineRule="exact"/>
        <w:ind w:firstLine="480" w:firstLineChars="200"/>
        <w:rPr>
          <w:rFonts w:hint="eastAsia"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3.公告发布媒体：湖北省政府采购网（http://www.ccgp-hubei.gov.cn）、掇刀区政府采购电子交易平台（http://dd.hbncp.com.cn）。</w:t>
      </w:r>
    </w:p>
    <w:p w14:paraId="71A67411">
      <w:pPr>
        <w:spacing w:line="520" w:lineRule="exact"/>
        <w:ind w:firstLine="480" w:firstLineChars="200"/>
        <w:rPr>
          <w:rFonts w:hint="eastAsia"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4.根据掇刀区《关于开展远程异地常态化评标工作的通知》要求，本项目采用远程异地评审。</w:t>
      </w:r>
    </w:p>
    <w:p w14:paraId="1964BA55">
      <w:pPr>
        <w:spacing w:line="520" w:lineRule="exact"/>
        <w:ind w:firstLine="480" w:firstLineChars="200"/>
        <w:rPr>
          <w:rFonts w:hint="eastAsia" w:cs="宋体"/>
          <w:color w:val="000000" w:themeColor="text1"/>
          <w:kern w:val="0"/>
          <w:szCs w:val="24"/>
          <w14:textFill>
            <w14:solidFill>
              <w14:schemeClr w14:val="tx1"/>
            </w14:solidFill>
          </w14:textFill>
        </w:rPr>
      </w:pPr>
      <w:r>
        <w:rPr>
          <w:rFonts w:hint="eastAsia" w:cs="宋体"/>
          <w:color w:val="000000" w:themeColor="text1"/>
          <w:kern w:val="0"/>
          <w:szCs w:val="24"/>
          <w14:textFill>
            <w14:solidFill>
              <w14:schemeClr w14:val="tx1"/>
            </w14:solidFill>
          </w14:textFill>
        </w:rPr>
        <w:t>5.多包号采购成交供应商选取原则：供应商可对本项目共计6包号任意包号进行投标，最多只允许成交一个包号。若同时为多个包号的第一候选人，则保留中标金额较大的一包的中标候选人资格，自动放弃其他所有包号成交供应商资格。每个项目包第一候选人放弃成交供应商资格后，第二候选人自动顺延为第一候选人。以此类推。</w:t>
      </w:r>
    </w:p>
    <w:p w14:paraId="59F32CAB">
      <w:pPr>
        <w:pStyle w:val="4"/>
        <w:spacing w:before="0" w:after="0" w:line="520" w:lineRule="exact"/>
        <w:ind w:hanging="420"/>
        <w:rPr>
          <w:rFonts w:hint="eastAsia"/>
          <w:color w:val="000000" w:themeColor="text1"/>
          <w14:textFill>
            <w14:solidFill>
              <w14:schemeClr w14:val="tx1"/>
            </w14:solidFill>
          </w14:textFill>
        </w:rPr>
      </w:pPr>
      <w:bookmarkStart w:id="81" w:name="_Toc26532"/>
      <w:r>
        <w:rPr>
          <w:rFonts w:hint="eastAsia"/>
          <w:color w:val="000000" w:themeColor="text1"/>
          <w14:textFill>
            <w14:solidFill>
              <w14:schemeClr w14:val="tx1"/>
            </w14:solidFill>
          </w14:textFill>
        </w:rPr>
        <w:t>七、</w:t>
      </w:r>
      <w:r>
        <w:rPr>
          <w:color w:val="000000" w:themeColor="text1"/>
          <w14:textFill>
            <w14:solidFill>
              <w14:schemeClr w14:val="tx1"/>
            </w14:solidFill>
          </w14:textFill>
        </w:rPr>
        <w:t>联系</w:t>
      </w:r>
      <w:r>
        <w:rPr>
          <w:rFonts w:hint="eastAsia"/>
          <w:color w:val="000000" w:themeColor="text1"/>
          <w14:textFill>
            <w14:solidFill>
              <w14:schemeClr w14:val="tx1"/>
            </w14:solidFill>
          </w14:textFill>
        </w:rPr>
        <w:t>方式</w:t>
      </w:r>
      <w:bookmarkEnd w:id="71"/>
      <w:bookmarkEnd w:id="72"/>
      <w:bookmarkEnd w:id="73"/>
      <w:bookmarkEnd w:id="74"/>
      <w:bookmarkEnd w:id="75"/>
      <w:bookmarkEnd w:id="76"/>
      <w:bookmarkEnd w:id="77"/>
      <w:bookmarkEnd w:id="78"/>
      <w:bookmarkEnd w:id="79"/>
      <w:bookmarkEnd w:id="80"/>
      <w:bookmarkEnd w:id="81"/>
    </w:p>
    <w:p w14:paraId="3110731D">
      <w:pPr>
        <w:rPr>
          <w:rFonts w:hint="eastAsia"/>
          <w:color w:val="000000" w:themeColor="text1"/>
          <w14:textFill>
            <w14:solidFill>
              <w14:schemeClr w14:val="tx1"/>
            </w14:solidFill>
          </w14:textFill>
        </w:rPr>
      </w:pPr>
      <w:r>
        <w:rPr>
          <w:color w:val="000000" w:themeColor="text1"/>
          <w14:textFill>
            <w14:solidFill>
              <w14:schemeClr w14:val="tx1"/>
            </w14:solidFill>
          </w14:textFill>
        </w:rPr>
        <w:t>1、采购人：荆门市掇刀区军马场学校</w:t>
      </w:r>
    </w:p>
    <w:p w14:paraId="776F6BC6">
      <w:pPr>
        <w:rPr>
          <w:rFonts w:hint="eastAsia"/>
          <w:color w:val="000000" w:themeColor="text1"/>
          <w14:textFill>
            <w14:solidFill>
              <w14:schemeClr w14:val="tx1"/>
            </w14:solidFill>
          </w14:textFill>
        </w:rPr>
      </w:pPr>
      <w:r>
        <w:rPr>
          <w:color w:val="000000" w:themeColor="text1"/>
          <w14:textFill>
            <w14:solidFill>
              <w14:schemeClr w14:val="tx1"/>
            </w14:solidFill>
          </w14:textFill>
        </w:rPr>
        <w:t>地址：荆门市掇刀区军马场路以南、忠信路以东</w:t>
      </w:r>
    </w:p>
    <w:p w14:paraId="622C7871">
      <w:pPr>
        <w:rPr>
          <w:rFonts w:hint="eastAsia"/>
          <w:color w:val="000000" w:themeColor="text1"/>
          <w14:textFill>
            <w14:solidFill>
              <w14:schemeClr w14:val="tx1"/>
            </w14:solidFill>
          </w14:textFill>
        </w:rPr>
      </w:pPr>
      <w:r>
        <w:rPr>
          <w:color w:val="000000" w:themeColor="text1"/>
          <w14:textFill>
            <w14:solidFill>
              <w14:schemeClr w14:val="tx1"/>
            </w14:solidFill>
          </w14:textFill>
        </w:rPr>
        <w:t>联系人姓名：</w:t>
      </w:r>
      <w:r>
        <w:rPr>
          <w:rFonts w:hint="eastAsia"/>
          <w:color w:val="000000" w:themeColor="text1"/>
          <w14:textFill>
            <w14:solidFill>
              <w14:schemeClr w14:val="tx1"/>
            </w14:solidFill>
          </w14:textFill>
        </w:rPr>
        <w:t>王嫣</w:t>
      </w:r>
    </w:p>
    <w:p w14:paraId="38B42743">
      <w:pPr>
        <w:rPr>
          <w:rFonts w:hint="eastAsia"/>
          <w:color w:val="000000" w:themeColor="text1"/>
          <w14:textFill>
            <w14:solidFill>
              <w14:schemeClr w14:val="tx1"/>
            </w14:solidFill>
          </w14:textFill>
        </w:rPr>
      </w:pPr>
      <w:r>
        <w:rPr>
          <w:color w:val="000000" w:themeColor="text1"/>
          <w14:textFill>
            <w14:solidFill>
              <w14:schemeClr w14:val="tx1"/>
            </w14:solidFill>
          </w14:textFill>
        </w:rPr>
        <w:t>联系电话：</w:t>
      </w:r>
      <w:r>
        <w:rPr>
          <w:rFonts w:hint="eastAsia"/>
          <w:color w:val="000000" w:themeColor="text1"/>
          <w14:textFill>
            <w14:solidFill>
              <w14:schemeClr w14:val="tx1"/>
            </w14:solidFill>
          </w14:textFill>
        </w:rPr>
        <w:t>13774040035</w:t>
      </w:r>
    </w:p>
    <w:p w14:paraId="7E15034C">
      <w:pPr>
        <w:rPr>
          <w:rFonts w:hint="eastAsia"/>
          <w:color w:val="000000" w:themeColor="text1"/>
          <w14:textFill>
            <w14:solidFill>
              <w14:schemeClr w14:val="tx1"/>
            </w14:solidFill>
          </w14:textFill>
        </w:rPr>
      </w:pPr>
      <w:r>
        <w:rPr>
          <w:color w:val="000000" w:themeColor="text1"/>
          <w14:textFill>
            <w14:solidFill>
              <w14:schemeClr w14:val="tx1"/>
            </w14:solidFill>
          </w14:textFill>
        </w:rPr>
        <w:t>2、代理机构信息</w:t>
      </w:r>
    </w:p>
    <w:p w14:paraId="00F0BABF">
      <w:pPr>
        <w:rPr>
          <w:rFonts w:hint="eastAsia"/>
          <w:color w:val="000000" w:themeColor="text1"/>
          <w14:textFill>
            <w14:solidFill>
              <w14:schemeClr w14:val="tx1"/>
            </w14:solidFill>
          </w14:textFill>
        </w:rPr>
      </w:pPr>
      <w:r>
        <w:rPr>
          <w:color w:val="000000" w:themeColor="text1"/>
          <w14:textFill>
            <w14:solidFill>
              <w14:schemeClr w14:val="tx1"/>
            </w14:solidFill>
          </w14:textFill>
        </w:rPr>
        <w:t>采购代理机构：掇刀区政府采购中心</w:t>
      </w:r>
    </w:p>
    <w:p w14:paraId="406F44D3">
      <w:pPr>
        <w:rPr>
          <w:rFonts w:hint="eastAsia"/>
          <w:color w:val="000000" w:themeColor="text1"/>
          <w14:textFill>
            <w14:solidFill>
              <w14:schemeClr w14:val="tx1"/>
            </w14:solidFill>
          </w14:textFill>
        </w:rPr>
      </w:pPr>
      <w:r>
        <w:rPr>
          <w:color w:val="000000" w:themeColor="text1"/>
          <w14:textFill>
            <w14:solidFill>
              <w14:schemeClr w14:val="tx1"/>
            </w14:solidFill>
          </w14:textFill>
        </w:rPr>
        <w:t>地址：掇刀区官堰湖大道 88号</w:t>
      </w:r>
    </w:p>
    <w:p w14:paraId="26763D80">
      <w:pPr>
        <w:rPr>
          <w:rFonts w:hint="eastAsia"/>
          <w:color w:val="000000" w:themeColor="text1"/>
          <w14:textFill>
            <w14:solidFill>
              <w14:schemeClr w14:val="tx1"/>
            </w14:solidFill>
          </w14:textFill>
        </w:rPr>
      </w:pPr>
      <w:r>
        <w:rPr>
          <w:color w:val="000000" w:themeColor="text1"/>
          <w14:textFill>
            <w14:solidFill>
              <w14:schemeClr w14:val="tx1"/>
            </w14:solidFill>
          </w14:textFill>
        </w:rPr>
        <w:t>联系电话：0724-6820699</w:t>
      </w:r>
    </w:p>
    <w:p w14:paraId="5C0CE55F">
      <w:pPr>
        <w:rPr>
          <w:rFonts w:hint="eastAsia"/>
          <w:color w:val="000000" w:themeColor="text1"/>
          <w14:textFill>
            <w14:solidFill>
              <w14:schemeClr w14:val="tx1"/>
            </w14:solidFill>
          </w14:textFill>
        </w:rPr>
      </w:pPr>
      <w:r>
        <w:rPr>
          <w:color w:val="000000" w:themeColor="text1"/>
          <w14:textFill>
            <w14:solidFill>
              <w14:schemeClr w14:val="tx1"/>
            </w14:solidFill>
          </w14:textFill>
        </w:rPr>
        <w:t>3、项目联系方式</w:t>
      </w:r>
    </w:p>
    <w:p w14:paraId="7F03CB89">
      <w:pPr>
        <w:rPr>
          <w:rFonts w:hint="eastAsia"/>
          <w:color w:val="000000" w:themeColor="text1"/>
          <w14:textFill>
            <w14:solidFill>
              <w14:schemeClr w14:val="tx1"/>
            </w14:solidFill>
          </w14:textFill>
        </w:rPr>
      </w:pPr>
      <w:r>
        <w:rPr>
          <w:color w:val="000000" w:themeColor="text1"/>
          <w14:textFill>
            <w14:solidFill>
              <w14:schemeClr w14:val="tx1"/>
            </w14:solidFill>
          </w14:textFill>
        </w:rPr>
        <w:t>项目联系人：任晓强</w:t>
      </w:r>
    </w:p>
    <w:p w14:paraId="6A6A12DC">
      <w:pPr>
        <w:rPr>
          <w:rFonts w:hint="eastAsia"/>
          <w:color w:val="000000" w:themeColor="text1"/>
          <w14:textFill>
            <w14:solidFill>
              <w14:schemeClr w14:val="tx1"/>
            </w14:solidFill>
          </w14:textFill>
        </w:rPr>
        <w:sectPr>
          <w:footerReference r:id="rId5" w:type="default"/>
          <w:pgSz w:w="11906" w:h="16838"/>
          <w:pgMar w:top="1440" w:right="1800" w:bottom="1440" w:left="1800" w:header="851" w:footer="992" w:gutter="0"/>
          <w:pgNumType w:start="1"/>
          <w:cols w:space="720" w:num="1"/>
          <w:docGrid w:type="lines" w:linePitch="312" w:charSpace="0"/>
        </w:sectPr>
      </w:pPr>
      <w:r>
        <w:rPr>
          <w:color w:val="000000" w:themeColor="text1"/>
          <w14:textFill>
            <w14:solidFill>
              <w14:schemeClr w14:val="tx1"/>
            </w14:solidFill>
          </w14:textFill>
        </w:rPr>
        <w:t>联系电话：0724-6820699</w:t>
      </w:r>
    </w:p>
    <w:p w14:paraId="45C02591">
      <w:pPr>
        <w:pStyle w:val="3"/>
        <w:spacing w:before="0" w:after="0"/>
        <w:rPr>
          <w:rFonts w:hint="eastAsia"/>
          <w:color w:val="000000" w:themeColor="text1"/>
          <w14:textFill>
            <w14:solidFill>
              <w14:schemeClr w14:val="tx1"/>
            </w14:solidFill>
          </w14:textFill>
        </w:rPr>
      </w:pPr>
      <w:bookmarkStart w:id="82" w:name="_Toc155185867"/>
      <w:bookmarkStart w:id="83" w:name="_Toc3474"/>
      <w:r>
        <w:rPr>
          <w:rFonts w:hint="eastAsia"/>
          <w:color w:val="000000" w:themeColor="text1"/>
          <w14:textFill>
            <w14:solidFill>
              <w14:schemeClr w14:val="tx1"/>
            </w14:solidFill>
          </w14:textFill>
        </w:rPr>
        <w:t>第二章 投标人须知</w:t>
      </w:r>
      <w:bookmarkEnd w:id="82"/>
      <w:bookmarkEnd w:id="83"/>
    </w:p>
    <w:bookmarkEnd w:id="3"/>
    <w:p w14:paraId="21DDFC4F">
      <w:pPr>
        <w:pStyle w:val="4"/>
        <w:numPr>
          <w:ilvl w:val="0"/>
          <w:numId w:val="10"/>
        </w:numPr>
        <w:spacing w:before="0" w:after="0"/>
        <w:ind w:left="0"/>
        <w:rPr>
          <w:rFonts w:hint="eastAsia"/>
          <w:color w:val="000000" w:themeColor="text1"/>
          <w14:textFill>
            <w14:solidFill>
              <w14:schemeClr w14:val="tx1"/>
            </w14:solidFill>
          </w14:textFill>
        </w:rPr>
      </w:pPr>
      <w:bookmarkStart w:id="84" w:name="_Toc155185868"/>
      <w:bookmarkStart w:id="85" w:name="_Toc18330"/>
      <w:r>
        <w:rPr>
          <w:rFonts w:hint="eastAsia"/>
          <w:color w:val="000000" w:themeColor="text1"/>
          <w14:textFill>
            <w14:solidFill>
              <w14:schemeClr w14:val="tx1"/>
            </w14:solidFill>
          </w14:textFill>
        </w:rPr>
        <w:t>投标人须知前附表</w:t>
      </w:r>
      <w:bookmarkEnd w:id="84"/>
      <w:bookmarkEnd w:id="85"/>
    </w:p>
    <w:p w14:paraId="76DA37D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投标人应仔细阅读本招标文件的第二章“投标人须知”，下面所列资料是对“投标人须知”的具体补充和说明。如有矛盾，应以本表为准。</w:t>
      </w:r>
    </w:p>
    <w:tbl>
      <w:tblPr>
        <w:tblStyle w:val="81"/>
        <w:tblW w:w="8531"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0"/>
        <w:gridCol w:w="5841"/>
      </w:tblGrid>
      <w:tr w14:paraId="08EF3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vAlign w:val="center"/>
          </w:tcPr>
          <w:p w14:paraId="451ADF8D">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vAlign w:val="center"/>
          </w:tcPr>
          <w:p w14:paraId="53EF0A90">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8D8D8"/>
            <w:vAlign w:val="center"/>
          </w:tcPr>
          <w:p w14:paraId="6180B9B1">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  容</w:t>
            </w:r>
          </w:p>
        </w:tc>
      </w:tr>
      <w:tr w14:paraId="781E3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tcBorders>
            <w:vAlign w:val="center"/>
          </w:tcPr>
          <w:p w14:paraId="0537E540">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2.2</w:t>
            </w:r>
          </w:p>
        </w:tc>
        <w:tc>
          <w:tcPr>
            <w:tcW w:w="1720" w:type="dxa"/>
            <w:tcBorders>
              <w:top w:val="single" w:color="auto" w:sz="4" w:space="0"/>
            </w:tcBorders>
            <w:vAlign w:val="center"/>
          </w:tcPr>
          <w:p w14:paraId="4225C47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采购人</w:t>
            </w:r>
          </w:p>
        </w:tc>
        <w:tc>
          <w:tcPr>
            <w:tcW w:w="5841" w:type="dxa"/>
            <w:tcBorders>
              <w:top w:val="single" w:color="auto" w:sz="4" w:space="0"/>
            </w:tcBorders>
            <w:vAlign w:val="center"/>
          </w:tcPr>
          <w:p w14:paraId="79215A06">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荆门市掇刀区军马场学校</w:t>
            </w:r>
          </w:p>
        </w:tc>
      </w:tr>
      <w:tr w14:paraId="53035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0E6A049">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2.3</w:t>
            </w:r>
          </w:p>
        </w:tc>
        <w:tc>
          <w:tcPr>
            <w:tcW w:w="1720" w:type="dxa"/>
            <w:vAlign w:val="center"/>
          </w:tcPr>
          <w:p w14:paraId="63B3CB1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采购代理机构</w:t>
            </w:r>
          </w:p>
        </w:tc>
        <w:tc>
          <w:tcPr>
            <w:tcW w:w="5841" w:type="dxa"/>
            <w:vAlign w:val="center"/>
          </w:tcPr>
          <w:p w14:paraId="1AA7C29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掇刀区政府采购中心</w:t>
            </w:r>
          </w:p>
        </w:tc>
      </w:tr>
      <w:tr w14:paraId="67F7A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48778CF">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2.4</w:t>
            </w:r>
          </w:p>
        </w:tc>
        <w:tc>
          <w:tcPr>
            <w:tcW w:w="1720" w:type="dxa"/>
            <w:vAlign w:val="center"/>
          </w:tcPr>
          <w:p w14:paraId="46F9F83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监督管理部门</w:t>
            </w:r>
          </w:p>
        </w:tc>
        <w:tc>
          <w:tcPr>
            <w:tcW w:w="5841" w:type="dxa"/>
            <w:vAlign w:val="center"/>
          </w:tcPr>
          <w:p w14:paraId="33B80CC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掇刀区财政局</w:t>
            </w:r>
          </w:p>
        </w:tc>
      </w:tr>
      <w:tr w14:paraId="400C2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423E8CE">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2.5</w:t>
            </w:r>
          </w:p>
        </w:tc>
        <w:tc>
          <w:tcPr>
            <w:tcW w:w="1720" w:type="dxa"/>
            <w:vAlign w:val="center"/>
          </w:tcPr>
          <w:p w14:paraId="20D02D5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5841" w:type="dxa"/>
            <w:vAlign w:val="center"/>
          </w:tcPr>
          <w:p w14:paraId="71753CF9">
            <w:pPr>
              <w:pStyle w:val="95"/>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军马场学校初中部新建项目智慧校园设备采购（二次）包4校园数字广播、灯光、音响、舞台设备、移动直播设备</w:t>
            </w:r>
            <w:r>
              <w:rPr>
                <w:rFonts w:hint="eastAsia"/>
                <w:color w:val="000000" w:themeColor="text1"/>
                <w14:textFill>
                  <w14:solidFill>
                    <w14:schemeClr w14:val="tx1"/>
                  </w14:solidFill>
                </w14:textFill>
              </w:rPr>
              <w:t xml:space="preserve"> </w:t>
            </w:r>
          </w:p>
        </w:tc>
      </w:tr>
      <w:tr w14:paraId="3ACE0D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8EDFA07">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2.6</w:t>
            </w:r>
          </w:p>
        </w:tc>
        <w:tc>
          <w:tcPr>
            <w:tcW w:w="1720" w:type="dxa"/>
            <w:vAlign w:val="center"/>
          </w:tcPr>
          <w:p w14:paraId="712B445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项目地点</w:t>
            </w:r>
          </w:p>
        </w:tc>
        <w:tc>
          <w:tcPr>
            <w:tcW w:w="5841" w:type="dxa"/>
            <w:vAlign w:val="center"/>
          </w:tcPr>
          <w:p w14:paraId="739C615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掇刀辖区</w:t>
            </w:r>
          </w:p>
        </w:tc>
      </w:tr>
      <w:tr w14:paraId="4C993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0CE4314">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2.7</w:t>
            </w:r>
          </w:p>
        </w:tc>
        <w:tc>
          <w:tcPr>
            <w:tcW w:w="1720" w:type="dxa"/>
            <w:vAlign w:val="center"/>
          </w:tcPr>
          <w:p w14:paraId="41CC39A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项目内容</w:t>
            </w:r>
          </w:p>
        </w:tc>
        <w:tc>
          <w:tcPr>
            <w:tcW w:w="5841" w:type="dxa"/>
            <w:vAlign w:val="center"/>
          </w:tcPr>
          <w:p w14:paraId="18DD0D6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详见第三章采购需求</w:t>
            </w:r>
          </w:p>
        </w:tc>
      </w:tr>
      <w:tr w14:paraId="46109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7CEB118">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2.8</w:t>
            </w:r>
          </w:p>
        </w:tc>
        <w:tc>
          <w:tcPr>
            <w:tcW w:w="1720" w:type="dxa"/>
            <w:vAlign w:val="center"/>
          </w:tcPr>
          <w:p w14:paraId="51B29F1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项目属性</w:t>
            </w:r>
          </w:p>
        </w:tc>
        <w:tc>
          <w:tcPr>
            <w:tcW w:w="5841" w:type="dxa"/>
            <w:vAlign w:val="center"/>
          </w:tcPr>
          <w:p w14:paraId="362238C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货物</w:t>
            </w:r>
          </w:p>
        </w:tc>
      </w:tr>
      <w:tr w14:paraId="50D88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D2DCBCE">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3.1</w:t>
            </w:r>
          </w:p>
        </w:tc>
        <w:tc>
          <w:tcPr>
            <w:tcW w:w="1720" w:type="dxa"/>
            <w:vAlign w:val="center"/>
          </w:tcPr>
          <w:p w14:paraId="7888053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资金来源</w:t>
            </w:r>
          </w:p>
        </w:tc>
        <w:tc>
          <w:tcPr>
            <w:tcW w:w="5841" w:type="dxa"/>
            <w:vAlign w:val="center"/>
          </w:tcPr>
          <w:p w14:paraId="6E4F45B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财政性资金：</w:t>
            </w:r>
            <w:r>
              <w:rPr>
                <w:rFonts w:hint="eastAsia"/>
                <w:color w:val="000000" w:themeColor="text1"/>
                <w:u w:val="single"/>
                <w14:textFill>
                  <w14:solidFill>
                    <w14:schemeClr w14:val="tx1"/>
                  </w14:solidFill>
                </w14:textFill>
              </w:rPr>
              <w:t>284.7万元</w:t>
            </w:r>
            <w:r>
              <w:rPr>
                <w:rFonts w:hint="eastAsia"/>
                <w:color w:val="000000" w:themeColor="text1"/>
                <w14:textFill>
                  <w14:solidFill>
                    <w14:schemeClr w14:val="tx1"/>
                  </w14:solidFill>
                </w14:textFill>
              </w:rPr>
              <w:t>，非财政性资金：</w:t>
            </w:r>
            <w:r>
              <w:rPr>
                <w:rFonts w:hint="eastAsia"/>
                <w:color w:val="000000" w:themeColor="text1"/>
                <w:u w:val="single"/>
                <w14:textFill>
                  <w14:solidFill>
                    <w14:schemeClr w14:val="tx1"/>
                  </w14:solidFill>
                </w14:textFill>
              </w:rPr>
              <w:t xml:space="preserve"> 0 元</w:t>
            </w:r>
            <w:r>
              <w:rPr>
                <w:rFonts w:hint="eastAsia"/>
                <w:color w:val="000000" w:themeColor="text1"/>
                <w14:textFill>
                  <w14:solidFill>
                    <w14:schemeClr w14:val="tx1"/>
                  </w14:solidFill>
                </w14:textFill>
              </w:rPr>
              <w:t>。</w:t>
            </w:r>
          </w:p>
        </w:tc>
      </w:tr>
      <w:tr w14:paraId="4B0D3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CEC6377">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4.1</w:t>
            </w:r>
          </w:p>
        </w:tc>
        <w:tc>
          <w:tcPr>
            <w:tcW w:w="1720" w:type="dxa"/>
            <w:vAlign w:val="center"/>
          </w:tcPr>
          <w:p w14:paraId="4199E89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投标人资格要求</w:t>
            </w:r>
          </w:p>
        </w:tc>
        <w:tc>
          <w:tcPr>
            <w:tcW w:w="5841" w:type="dxa"/>
            <w:vAlign w:val="center"/>
          </w:tcPr>
          <w:p w14:paraId="5BADF00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详见第一章“投标邀请”第二项“投标人资格要求”。</w:t>
            </w:r>
          </w:p>
        </w:tc>
      </w:tr>
      <w:tr w14:paraId="0FAF5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B43AD86">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4.2</w:t>
            </w:r>
          </w:p>
        </w:tc>
        <w:tc>
          <w:tcPr>
            <w:tcW w:w="1720" w:type="dxa"/>
            <w:vAlign w:val="center"/>
          </w:tcPr>
          <w:p w14:paraId="3CB25B0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是否接受联合体投标</w:t>
            </w:r>
          </w:p>
        </w:tc>
        <w:tc>
          <w:tcPr>
            <w:tcW w:w="5841" w:type="dxa"/>
            <w:vAlign w:val="center"/>
          </w:tcPr>
          <w:p w14:paraId="0B80E89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不接受</w:t>
            </w:r>
          </w:p>
          <w:p w14:paraId="79C3B49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接受，应满足下列要求：</w:t>
            </w:r>
          </w:p>
          <w:p w14:paraId="442E208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p w14:paraId="1DEC020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2、本次项目接受的联合体数量不超过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家。</w:t>
            </w:r>
          </w:p>
          <w:p w14:paraId="14464C2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rFonts w:hint="eastAsia" w:cs="Tahoma"/>
                <w:color w:val="000000" w:themeColor="text1"/>
                <w14:textFill>
                  <w14:solidFill>
                    <w14:schemeClr w14:val="tx1"/>
                  </w14:solidFill>
                </w14:textFill>
              </w:rPr>
              <w:t>联合体中各方不得存在</w:t>
            </w:r>
            <w:r>
              <w:rPr>
                <w:rFonts w:hint="eastAsia"/>
                <w:color w:val="000000" w:themeColor="text1"/>
                <w14:textFill>
                  <w14:solidFill>
                    <w14:schemeClr w14:val="tx1"/>
                  </w14:solidFill>
                </w14:textFill>
              </w:rPr>
              <w:t>单位负责人为同一人或者存在直接控股、管理关系。</w:t>
            </w:r>
          </w:p>
        </w:tc>
      </w:tr>
      <w:tr w14:paraId="09EAC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5E52F90F">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1720" w:type="dxa"/>
            <w:vAlign w:val="center"/>
          </w:tcPr>
          <w:p w14:paraId="0EE2B83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分支机构</w:t>
            </w:r>
          </w:p>
        </w:tc>
        <w:tc>
          <w:tcPr>
            <w:tcW w:w="5841" w:type="dxa"/>
            <w:vAlign w:val="center"/>
          </w:tcPr>
          <w:p w14:paraId="5C2B3E4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政府采购法实施条例）释义》，银行、保险、石油石化、电力、电信等有关行业特殊情况的，取得营业执照的分支机构可以以分支机构名义参与投标，投标文件中涉及的“法定代表人”在前述特定行业中及对应为“分支机构负责人”。</w:t>
            </w:r>
          </w:p>
        </w:tc>
      </w:tr>
      <w:tr w14:paraId="2C233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BBC10A6">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9.1</w:t>
            </w:r>
          </w:p>
        </w:tc>
        <w:tc>
          <w:tcPr>
            <w:tcW w:w="1720" w:type="dxa"/>
            <w:vAlign w:val="center"/>
          </w:tcPr>
          <w:p w14:paraId="34516B17">
            <w:pPr>
              <w:pStyle w:val="95"/>
              <w:rPr>
                <w:rFonts w:hint="eastAsia"/>
                <w:color w:val="000000" w:themeColor="text1"/>
                <w14:textFill>
                  <w14:solidFill>
                    <w14:schemeClr w14:val="tx1"/>
                  </w14:solidFill>
                </w14:textFill>
              </w:rPr>
            </w:pPr>
            <w:bookmarkStart w:id="86" w:name="_Hlk143529175"/>
            <w:r>
              <w:rPr>
                <w:rFonts w:hint="eastAsia"/>
                <w:color w:val="000000" w:themeColor="text1"/>
                <w14:textFill>
                  <w14:solidFill>
                    <w14:schemeClr w14:val="tx1"/>
                  </w14:solidFill>
                </w14:textFill>
              </w:rPr>
              <w:t>现场考察和答疑会</w:t>
            </w:r>
            <w:bookmarkEnd w:id="86"/>
          </w:p>
        </w:tc>
        <w:tc>
          <w:tcPr>
            <w:tcW w:w="5841" w:type="dxa"/>
            <w:vAlign w:val="center"/>
          </w:tcPr>
          <w:p w14:paraId="353B8C0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不组织，投标人自行前往</w:t>
            </w:r>
          </w:p>
          <w:p w14:paraId="5B5862C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组织</w:t>
            </w:r>
          </w:p>
          <w:p w14:paraId="4A5A5AF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时间：                     。</w:t>
            </w:r>
          </w:p>
          <w:p w14:paraId="193AEDA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地点：                     。</w:t>
            </w:r>
          </w:p>
        </w:tc>
      </w:tr>
      <w:tr w14:paraId="073F4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50E807F">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10</w:t>
            </w:r>
          </w:p>
        </w:tc>
        <w:tc>
          <w:tcPr>
            <w:tcW w:w="1720" w:type="dxa"/>
            <w:vAlign w:val="center"/>
          </w:tcPr>
          <w:p w14:paraId="56B8D6F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中标后分包</w:t>
            </w:r>
          </w:p>
        </w:tc>
        <w:tc>
          <w:tcPr>
            <w:tcW w:w="5841" w:type="dxa"/>
            <w:vAlign w:val="center"/>
          </w:tcPr>
          <w:p w14:paraId="2D96602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不允许</w:t>
            </w:r>
          </w:p>
          <w:p w14:paraId="4E9BB52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允许，分包内容要求：</w:t>
            </w:r>
          </w:p>
          <w:p w14:paraId="08D0FA7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仅允许对本项目的非主体、非关键性工作进行分包。</w:t>
            </w:r>
          </w:p>
          <w:p w14:paraId="44E88C1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分包金额要求： </w:t>
            </w:r>
          </w:p>
          <w:p w14:paraId="0F8B729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分包人资质要求： </w:t>
            </w:r>
          </w:p>
        </w:tc>
      </w:tr>
      <w:tr w14:paraId="288B3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DF8FA31">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1.5</w:t>
            </w:r>
          </w:p>
        </w:tc>
        <w:tc>
          <w:tcPr>
            <w:tcW w:w="1720" w:type="dxa"/>
            <w:vAlign w:val="center"/>
          </w:tcPr>
          <w:p w14:paraId="2B0580A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电子交易系统咨询</w:t>
            </w:r>
          </w:p>
        </w:tc>
        <w:tc>
          <w:tcPr>
            <w:tcW w:w="5841" w:type="dxa"/>
            <w:vAlign w:val="center"/>
          </w:tcPr>
          <w:p w14:paraId="581F4FE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如有问题，应当在提交投标文件截止时间</w:t>
            </w:r>
            <w:r>
              <w:rPr>
                <w:rFonts w:hint="eastAsia"/>
                <w:b/>
                <w:bCs/>
                <w:color w:val="000000" w:themeColor="text1"/>
                <w14:textFill>
                  <w14:solidFill>
                    <w14:schemeClr w14:val="tx1"/>
                  </w14:solidFill>
                </w14:textFill>
              </w:rPr>
              <w:t>24小时前</w:t>
            </w:r>
            <w:r>
              <w:rPr>
                <w:rFonts w:hint="eastAsia"/>
                <w:color w:val="000000" w:themeColor="text1"/>
                <w14:textFill>
                  <w14:solidFill>
                    <w14:schemeClr w14:val="tx1"/>
                  </w14:solidFill>
                </w14:textFill>
              </w:rPr>
              <w:t>咨询供应商客户端或政府采购交易系统。</w:t>
            </w:r>
          </w:p>
        </w:tc>
      </w:tr>
      <w:tr w14:paraId="45396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FF8CE81">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1.6</w:t>
            </w:r>
          </w:p>
        </w:tc>
        <w:tc>
          <w:tcPr>
            <w:tcW w:w="1720" w:type="dxa"/>
            <w:vAlign w:val="center"/>
          </w:tcPr>
          <w:p w14:paraId="7BF32B9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政府采购交易系统</w:t>
            </w:r>
            <w:r>
              <w:rPr>
                <w:color w:val="000000" w:themeColor="text1"/>
                <w14:textFill>
                  <w14:solidFill>
                    <w14:schemeClr w14:val="tx1"/>
                  </w14:solidFill>
                </w14:textFill>
              </w:rPr>
              <w:t>联系方式</w:t>
            </w:r>
          </w:p>
        </w:tc>
        <w:tc>
          <w:tcPr>
            <w:tcW w:w="5841" w:type="dxa"/>
            <w:vAlign w:val="center"/>
          </w:tcPr>
          <w:p w14:paraId="32BE8F6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项目联系人：任晓强</w:t>
            </w:r>
          </w:p>
          <w:p w14:paraId="6FCBB53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联系电话：0724-6820699</w:t>
            </w:r>
          </w:p>
        </w:tc>
      </w:tr>
      <w:tr w14:paraId="7705B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2D28F95">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13.1</w:t>
            </w:r>
          </w:p>
        </w:tc>
        <w:tc>
          <w:tcPr>
            <w:tcW w:w="1720" w:type="dxa"/>
            <w:vAlign w:val="center"/>
          </w:tcPr>
          <w:p w14:paraId="1EEDFE7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提出询问方式</w:t>
            </w:r>
          </w:p>
        </w:tc>
        <w:tc>
          <w:tcPr>
            <w:tcW w:w="5841" w:type="dxa"/>
            <w:vAlign w:val="center"/>
          </w:tcPr>
          <w:p w14:paraId="1C6F229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提出询问方式： </w:t>
            </w:r>
          </w:p>
          <w:p w14:paraId="106C542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在供应商客户端中按照格式填写询问函，并在生成询问函后加盖电子印章提交。</w:t>
            </w:r>
          </w:p>
        </w:tc>
      </w:tr>
      <w:tr w14:paraId="5DE59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F429499">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15.2</w:t>
            </w:r>
          </w:p>
        </w:tc>
        <w:tc>
          <w:tcPr>
            <w:tcW w:w="1720" w:type="dxa"/>
            <w:vAlign w:val="center"/>
          </w:tcPr>
          <w:p w14:paraId="7ED4C60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报价方式</w:t>
            </w:r>
          </w:p>
        </w:tc>
        <w:tc>
          <w:tcPr>
            <w:tcW w:w="5841" w:type="dxa"/>
            <w:vAlign w:val="center"/>
          </w:tcPr>
          <w:p w14:paraId="3886390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报价方式：</w:t>
            </w:r>
          </w:p>
          <w:p w14:paraId="3BF7D62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在供应商客户端中按照招标文件要求填写报价。</w:t>
            </w:r>
          </w:p>
        </w:tc>
      </w:tr>
      <w:tr w14:paraId="03CEA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D507BD6">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15.6</w:t>
            </w:r>
          </w:p>
        </w:tc>
        <w:tc>
          <w:tcPr>
            <w:tcW w:w="1720" w:type="dxa"/>
            <w:vAlign w:val="center"/>
          </w:tcPr>
          <w:p w14:paraId="1DF30F1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p>
        </w:tc>
        <w:tc>
          <w:tcPr>
            <w:tcW w:w="5841" w:type="dxa"/>
            <w:vAlign w:val="center"/>
          </w:tcPr>
          <w:p w14:paraId="2D1189A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详见第一章“投标邀请”。</w:t>
            </w:r>
          </w:p>
        </w:tc>
      </w:tr>
      <w:tr w14:paraId="59128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41AD1E5">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16.1</w:t>
            </w:r>
          </w:p>
        </w:tc>
        <w:tc>
          <w:tcPr>
            <w:tcW w:w="1720" w:type="dxa"/>
            <w:vAlign w:val="center"/>
          </w:tcPr>
          <w:p w14:paraId="296B9EF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投标有效期</w:t>
            </w:r>
          </w:p>
        </w:tc>
        <w:tc>
          <w:tcPr>
            <w:tcW w:w="5841" w:type="dxa"/>
            <w:vAlign w:val="center"/>
          </w:tcPr>
          <w:p w14:paraId="1F8752A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投标截止日期后</w:t>
            </w:r>
            <w:r>
              <w:rPr>
                <w:rFonts w:hint="eastAsia"/>
                <w:color w:val="000000" w:themeColor="text1"/>
                <w:u w:val="single"/>
                <w14:textFill>
                  <w14:solidFill>
                    <w14:schemeClr w14:val="tx1"/>
                  </w14:solidFill>
                </w14:textFill>
              </w:rPr>
              <w:t>90</w:t>
            </w:r>
            <w:r>
              <w:rPr>
                <w:rFonts w:hint="eastAsia"/>
                <w:color w:val="000000" w:themeColor="text1"/>
                <w14:textFill>
                  <w14:solidFill>
                    <w14:schemeClr w14:val="tx1"/>
                  </w14:solidFill>
                </w14:textFill>
              </w:rPr>
              <w:t>日历日。</w:t>
            </w:r>
          </w:p>
        </w:tc>
      </w:tr>
      <w:tr w14:paraId="0EBEC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9093161">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19.1</w:t>
            </w:r>
          </w:p>
        </w:tc>
        <w:tc>
          <w:tcPr>
            <w:tcW w:w="1720" w:type="dxa"/>
            <w:vAlign w:val="center"/>
          </w:tcPr>
          <w:p w14:paraId="6F8969D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投标截止时间</w:t>
            </w:r>
          </w:p>
        </w:tc>
        <w:tc>
          <w:tcPr>
            <w:tcW w:w="5841" w:type="dxa"/>
            <w:vAlign w:val="center"/>
          </w:tcPr>
          <w:p w14:paraId="01F68EF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详见第一章“投标邀请”。</w:t>
            </w:r>
          </w:p>
        </w:tc>
      </w:tr>
      <w:tr w14:paraId="2B0C6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981970C">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19.2</w:t>
            </w:r>
          </w:p>
        </w:tc>
        <w:tc>
          <w:tcPr>
            <w:tcW w:w="1720" w:type="dxa"/>
            <w:vAlign w:val="center"/>
          </w:tcPr>
          <w:p w14:paraId="273BEC0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递交投标文件地点</w:t>
            </w:r>
          </w:p>
        </w:tc>
        <w:tc>
          <w:tcPr>
            <w:tcW w:w="5841" w:type="dxa"/>
            <w:vAlign w:val="center"/>
          </w:tcPr>
          <w:p w14:paraId="45623B7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详见第一章“投标邀请”。</w:t>
            </w:r>
          </w:p>
        </w:tc>
      </w:tr>
      <w:tr w14:paraId="0CADE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2C436FC6">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22.1</w:t>
            </w:r>
          </w:p>
        </w:tc>
        <w:tc>
          <w:tcPr>
            <w:tcW w:w="1720" w:type="dxa"/>
            <w:vAlign w:val="center"/>
          </w:tcPr>
          <w:p w14:paraId="55AC895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实物样品</w:t>
            </w:r>
          </w:p>
        </w:tc>
        <w:tc>
          <w:tcPr>
            <w:tcW w:w="5841" w:type="dxa"/>
            <w:vAlign w:val="center"/>
          </w:tcPr>
          <w:p w14:paraId="1C30901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不提供</w:t>
            </w:r>
          </w:p>
        </w:tc>
      </w:tr>
      <w:tr w14:paraId="1C5845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E769104">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23.1</w:t>
            </w:r>
          </w:p>
        </w:tc>
        <w:tc>
          <w:tcPr>
            <w:tcW w:w="1720" w:type="dxa"/>
            <w:vAlign w:val="center"/>
          </w:tcPr>
          <w:p w14:paraId="092C52F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项目演示</w:t>
            </w:r>
          </w:p>
        </w:tc>
        <w:tc>
          <w:tcPr>
            <w:tcW w:w="5841" w:type="dxa"/>
            <w:vAlign w:val="center"/>
          </w:tcPr>
          <w:p w14:paraId="674A807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不进行</w:t>
            </w:r>
          </w:p>
          <w:p w14:paraId="6355896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进行，现场演示/远程线上演示</w:t>
            </w:r>
          </w:p>
          <w:p w14:paraId="59BD2D4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1.演示时间不得超过   分钟；</w:t>
            </w:r>
          </w:p>
          <w:p w14:paraId="203415D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2.进行远程线上演示的，投标人应提前自行准备好演示的软硬配置环境和网络环境，做好演示的各项准备工作。因投标人自身原因无法演示或者演示效果不理想的，导致的后果由投标人自行承担；</w:t>
            </w:r>
          </w:p>
          <w:p w14:paraId="2213AD1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3.进行现场演示的，演示人员不得超过3人，演示现场提供。</w:t>
            </w:r>
          </w:p>
        </w:tc>
      </w:tr>
      <w:tr w14:paraId="68083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079D0ED8">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24.1</w:t>
            </w:r>
          </w:p>
        </w:tc>
        <w:tc>
          <w:tcPr>
            <w:tcW w:w="1720" w:type="dxa"/>
            <w:vAlign w:val="center"/>
          </w:tcPr>
          <w:p w14:paraId="0FE466E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远程开标会议环境准备</w:t>
            </w:r>
          </w:p>
        </w:tc>
        <w:tc>
          <w:tcPr>
            <w:tcW w:w="5841" w:type="dxa"/>
            <w:vAlign w:val="center"/>
          </w:tcPr>
          <w:p w14:paraId="72A87A3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远程开标会议环境要求：电脑或“一毂清风”App 。</w:t>
            </w:r>
          </w:p>
          <w:p w14:paraId="3F31E5E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操作说明：登录</w:t>
            </w:r>
            <w:r>
              <w:rPr>
                <w:rFonts w:hint="eastAsia" w:cs="仿宋_GB2312"/>
                <w:color w:val="000000" w:themeColor="text1"/>
                <w:szCs w:val="24"/>
                <w:u w:val="single"/>
                <w14:textFill>
                  <w14:solidFill>
                    <w14:schemeClr w14:val="tx1"/>
                  </w14:solidFill>
                </w14:textFill>
              </w:rPr>
              <w:t>掇刀区政府采购电子交易平台（http://dd.hbncp.com.cn）进行操作</w:t>
            </w:r>
            <w:r>
              <w:rPr>
                <w:rFonts w:hint="eastAsia"/>
                <w:color w:val="000000" w:themeColor="text1"/>
                <w14:textFill>
                  <w14:solidFill>
                    <w14:schemeClr w14:val="tx1"/>
                  </w14:solidFill>
                </w14:textFill>
              </w:rPr>
              <w:t xml:space="preserve"> 。</w:t>
            </w:r>
          </w:p>
        </w:tc>
      </w:tr>
      <w:tr w14:paraId="73600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605" w:hRule="atLeast"/>
        </w:trPr>
        <w:tc>
          <w:tcPr>
            <w:tcW w:w="970" w:type="dxa"/>
            <w:vAlign w:val="center"/>
          </w:tcPr>
          <w:p w14:paraId="36FA2A20">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25.1</w:t>
            </w:r>
          </w:p>
        </w:tc>
        <w:tc>
          <w:tcPr>
            <w:tcW w:w="1720" w:type="dxa"/>
            <w:vAlign w:val="center"/>
          </w:tcPr>
          <w:p w14:paraId="58A10C6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开标时间和地点</w:t>
            </w:r>
          </w:p>
        </w:tc>
        <w:tc>
          <w:tcPr>
            <w:tcW w:w="5841" w:type="dxa"/>
            <w:vAlign w:val="center"/>
          </w:tcPr>
          <w:p w14:paraId="216258B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详见第一章“投标邀请”。</w:t>
            </w:r>
          </w:p>
        </w:tc>
      </w:tr>
      <w:tr w14:paraId="311EA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67AB768">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26.3</w:t>
            </w:r>
          </w:p>
        </w:tc>
        <w:tc>
          <w:tcPr>
            <w:tcW w:w="1720" w:type="dxa"/>
            <w:vAlign w:val="center"/>
          </w:tcPr>
          <w:p w14:paraId="0A783C1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解密投标文件的时限</w:t>
            </w:r>
          </w:p>
        </w:tc>
        <w:tc>
          <w:tcPr>
            <w:tcW w:w="5841" w:type="dxa"/>
            <w:vAlign w:val="center"/>
          </w:tcPr>
          <w:p w14:paraId="589A0F97">
            <w:pPr>
              <w:pStyle w:val="95"/>
              <w:rPr>
                <w:rFonts w:hint="eastAsia"/>
                <w:color w:val="000000" w:themeColor="text1"/>
                <w14:textFill>
                  <w14:solidFill>
                    <w14:schemeClr w14:val="tx1"/>
                  </w14:solidFill>
                </w14:textFill>
              </w:rPr>
            </w:pPr>
            <w:r>
              <w:rPr>
                <w:rFonts w:hint="eastAsia"/>
                <w:color w:val="000000" w:themeColor="text1"/>
                <w:u w:val="single"/>
                <w14:textFill>
                  <w14:solidFill>
                    <w14:schemeClr w14:val="tx1"/>
                  </w14:solidFill>
                </w14:textFill>
              </w:rPr>
              <w:t>30</w:t>
            </w:r>
            <w:r>
              <w:rPr>
                <w:rFonts w:hint="eastAsia"/>
                <w:color w:val="000000" w:themeColor="text1"/>
                <w14:textFill>
                  <w14:solidFill>
                    <w14:schemeClr w14:val="tx1"/>
                  </w14:solidFill>
                </w14:textFill>
              </w:rPr>
              <w:t>分钟，若遇到系统异常情况，采购代理机构须经监督人员同意后可延长解密时间。</w:t>
            </w:r>
          </w:p>
        </w:tc>
      </w:tr>
      <w:tr w14:paraId="17A19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1B38622">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30.2</w:t>
            </w:r>
          </w:p>
        </w:tc>
        <w:tc>
          <w:tcPr>
            <w:tcW w:w="1720" w:type="dxa"/>
            <w:vAlign w:val="center"/>
          </w:tcPr>
          <w:p w14:paraId="4E01597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推荐中标候选人</w:t>
            </w:r>
          </w:p>
        </w:tc>
        <w:tc>
          <w:tcPr>
            <w:tcW w:w="5841" w:type="dxa"/>
            <w:vAlign w:val="center"/>
          </w:tcPr>
          <w:p w14:paraId="2755CC5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中标候选人数量 3 家</w:t>
            </w:r>
          </w:p>
        </w:tc>
      </w:tr>
      <w:tr w14:paraId="11688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C5BA6E2">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31.1</w:t>
            </w:r>
          </w:p>
        </w:tc>
        <w:tc>
          <w:tcPr>
            <w:tcW w:w="1720" w:type="dxa"/>
            <w:vAlign w:val="center"/>
          </w:tcPr>
          <w:p w14:paraId="78A3958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确定中标人</w:t>
            </w:r>
          </w:p>
        </w:tc>
        <w:tc>
          <w:tcPr>
            <w:tcW w:w="5841" w:type="dxa"/>
            <w:vAlign w:val="center"/>
          </w:tcPr>
          <w:p w14:paraId="52D9170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采购人按评审报告中推荐的中标候选人排序确定中标人。</w:t>
            </w:r>
          </w:p>
          <w:p w14:paraId="504B234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采购人委托评标委员会直接确定中标人。</w:t>
            </w:r>
          </w:p>
        </w:tc>
      </w:tr>
      <w:tr w14:paraId="668657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AE5C954">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32.1</w:t>
            </w:r>
          </w:p>
        </w:tc>
        <w:tc>
          <w:tcPr>
            <w:tcW w:w="1720" w:type="dxa"/>
            <w:vAlign w:val="center"/>
          </w:tcPr>
          <w:p w14:paraId="3E9C903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中标结果公告</w:t>
            </w:r>
          </w:p>
        </w:tc>
        <w:tc>
          <w:tcPr>
            <w:tcW w:w="5841" w:type="dxa"/>
            <w:vAlign w:val="center"/>
          </w:tcPr>
          <w:p w14:paraId="492BBC8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公告媒介：湖北省政府采购网、掇刀区政府采购网</w:t>
            </w:r>
          </w:p>
        </w:tc>
      </w:tr>
      <w:tr w14:paraId="44C12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BA873B1">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34.1</w:t>
            </w:r>
          </w:p>
        </w:tc>
        <w:tc>
          <w:tcPr>
            <w:tcW w:w="1720" w:type="dxa"/>
            <w:vAlign w:val="center"/>
          </w:tcPr>
          <w:p w14:paraId="2D9F513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履约保证金</w:t>
            </w:r>
          </w:p>
        </w:tc>
        <w:tc>
          <w:tcPr>
            <w:tcW w:w="5841" w:type="dxa"/>
            <w:vAlign w:val="center"/>
          </w:tcPr>
          <w:p w14:paraId="756F0A5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无</w:t>
            </w:r>
          </w:p>
          <w:p w14:paraId="3F85503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有，履约保证金金额：          。</w:t>
            </w:r>
          </w:p>
          <w:p w14:paraId="6DA124F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履约担保形式：            。</w:t>
            </w:r>
          </w:p>
        </w:tc>
      </w:tr>
      <w:tr w14:paraId="2BE5D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317D66A">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39.1</w:t>
            </w:r>
          </w:p>
        </w:tc>
        <w:tc>
          <w:tcPr>
            <w:tcW w:w="1720" w:type="dxa"/>
            <w:vAlign w:val="center"/>
          </w:tcPr>
          <w:p w14:paraId="3F9B6D9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采购代理服务费收取方式和标准</w:t>
            </w:r>
          </w:p>
        </w:tc>
        <w:tc>
          <w:tcPr>
            <w:tcW w:w="5841" w:type="dxa"/>
            <w:vAlign w:val="center"/>
          </w:tcPr>
          <w:p w14:paraId="2D84EBE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根据采购人和采购代理机构签署的委托代理协议书约定：</w:t>
            </w:r>
          </w:p>
          <w:p w14:paraId="7D485A8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1.采购代理服务费：</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 xml:space="preserve">由采购人支付 </w:t>
            </w: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由中标人支付</w:t>
            </w: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 xml:space="preserve">无 </w:t>
            </w:r>
          </w:p>
          <w:p w14:paraId="7D6E61F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2.支付标准： </w:t>
            </w:r>
          </w:p>
          <w:p w14:paraId="5A5137F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3.支付时间：             </w:t>
            </w:r>
          </w:p>
          <w:p w14:paraId="61E9235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4.支付方式：             </w:t>
            </w:r>
          </w:p>
        </w:tc>
      </w:tr>
      <w:tr w14:paraId="658DC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4E73716E">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2.1</w:t>
            </w:r>
          </w:p>
        </w:tc>
        <w:tc>
          <w:tcPr>
            <w:tcW w:w="1720" w:type="dxa"/>
            <w:vAlign w:val="center"/>
          </w:tcPr>
          <w:p w14:paraId="0349FC11">
            <w:pPr>
              <w:pStyle w:val="95"/>
              <w:rPr>
                <w:rFonts w:hint="eastAsia"/>
                <w:color w:val="000000" w:themeColor="text1"/>
                <w14:textFill>
                  <w14:solidFill>
                    <w14:schemeClr w14:val="tx1"/>
                  </w14:solidFill>
                </w14:textFill>
              </w:rPr>
            </w:pPr>
            <w:r>
              <w:rPr>
                <w:rFonts w:hint="eastAsia" w:cs="仿宋_GB2312"/>
                <w:color w:val="000000" w:themeColor="text1"/>
                <w:lang w:val="zh-CN"/>
                <w14:textFill>
                  <w14:solidFill>
                    <w14:schemeClr w14:val="tx1"/>
                  </w14:solidFill>
                </w14:textFill>
              </w:rPr>
              <w:t>是否接受进口产品</w:t>
            </w:r>
          </w:p>
        </w:tc>
        <w:tc>
          <w:tcPr>
            <w:tcW w:w="5841" w:type="dxa"/>
            <w:vAlign w:val="center"/>
          </w:tcPr>
          <w:p w14:paraId="23353D7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不接受</w:t>
            </w:r>
          </w:p>
          <w:p w14:paraId="0464855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lang w:val="zh-CN"/>
                <w14:textFill>
                  <w14:solidFill>
                    <w14:schemeClr w14:val="tx1"/>
                  </w14:solidFill>
                </w14:textFill>
              </w:rPr>
              <w:t>接受</w:t>
            </w:r>
          </w:p>
        </w:tc>
      </w:tr>
      <w:tr w14:paraId="1FD0F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196510C2">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43.1</w:t>
            </w:r>
          </w:p>
        </w:tc>
        <w:tc>
          <w:tcPr>
            <w:tcW w:w="1720" w:type="dxa"/>
            <w:vAlign w:val="center"/>
          </w:tcPr>
          <w:p w14:paraId="4512BC0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支持中小企业政策</w:t>
            </w:r>
          </w:p>
        </w:tc>
        <w:tc>
          <w:tcPr>
            <w:tcW w:w="5841" w:type="dxa"/>
            <w:vAlign w:val="center"/>
          </w:tcPr>
          <w:p w14:paraId="7326A66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非专门面向中小企业的项目</w:t>
            </w:r>
          </w:p>
          <w:p w14:paraId="643B3B3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1.对于未预留份额专门面向中小企业采购的采购项目，以及预留份额项目中的非预留部分采购包，对小微企业报价给予比例扣除，价格扣除比例为：</w:t>
            </w:r>
            <w:r>
              <w:rPr>
                <w:rFonts w:hint="eastAsia"/>
                <w:color w:val="000000" w:themeColor="text1"/>
                <w:u w:val="single"/>
                <w14:textFill>
                  <w14:solidFill>
                    <w14:schemeClr w14:val="tx1"/>
                  </w14:solidFill>
                </w14:textFill>
              </w:rPr>
              <w:t>20%</w:t>
            </w:r>
            <w:r>
              <w:rPr>
                <w:rFonts w:hint="eastAsia"/>
                <w:color w:val="000000" w:themeColor="text1"/>
                <w14:textFill>
                  <w14:solidFill>
                    <w14:schemeClr w14:val="tx1"/>
                  </w14:solidFill>
                </w14:textFill>
              </w:rPr>
              <w:t>（货物服务10%-20%）；</w:t>
            </w:r>
          </w:p>
          <w:p w14:paraId="22074E3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比例扣除，价格扣除比例为：</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（货物服务4%-6%，需提供联合协议复印件并加盖所有参与联合体供应商公章）；</w:t>
            </w:r>
          </w:p>
          <w:p w14:paraId="171D3A7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3.中小企业应当提供《中小企业声明函》（详见本招标文件第七章 响应文件格式），对符合鄂财采发〔2022〕5号文第二条规定享受上限评审优惠的小微企业，还应提供符合该条款要求的其他证明材料，否则在评审时不享受上述评审优惠。</w:t>
            </w:r>
          </w:p>
          <w:p w14:paraId="5A8F797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专门面向中小企业的项目</w:t>
            </w:r>
          </w:p>
          <w:p w14:paraId="65D0CED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专门面向中小企业采购标的内容：</w:t>
            </w:r>
            <w:r>
              <w:rPr>
                <w:rFonts w:hint="eastAsia"/>
                <w:color w:val="000000" w:themeColor="text1"/>
                <w:u w:val="single"/>
                <w14:textFill>
                  <w14:solidFill>
                    <w14:schemeClr w14:val="tx1"/>
                  </w14:solidFill>
                </w14:textFill>
              </w:rPr>
              <w:t>/</w:t>
            </w:r>
          </w:p>
          <w:p w14:paraId="73A2BED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专门面向中小企业采购预算金额：</w:t>
            </w:r>
            <w:r>
              <w:rPr>
                <w:rFonts w:hint="eastAsia"/>
                <w:color w:val="000000" w:themeColor="text1"/>
                <w:u w:val="single"/>
                <w14:textFill>
                  <w14:solidFill>
                    <w14:schemeClr w14:val="tx1"/>
                  </w14:solidFill>
                </w14:textFill>
              </w:rPr>
              <w:t>/万元</w:t>
            </w:r>
          </w:p>
        </w:tc>
      </w:tr>
      <w:tr w14:paraId="65484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1C41A1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4.1</w:t>
            </w:r>
          </w:p>
        </w:tc>
        <w:tc>
          <w:tcPr>
            <w:tcW w:w="1720" w:type="dxa"/>
            <w:vAlign w:val="center"/>
          </w:tcPr>
          <w:p w14:paraId="159FCE1D">
            <w:pPr>
              <w:pStyle w:val="95"/>
              <w:rPr>
                <w:rFonts w:hint="eastAsia"/>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优先采购创新节能环保产品</w:t>
            </w:r>
          </w:p>
        </w:tc>
        <w:tc>
          <w:tcPr>
            <w:tcW w:w="5841" w:type="dxa"/>
            <w:vAlign w:val="center"/>
          </w:tcPr>
          <w:p w14:paraId="6A92499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所投产品纳入创新产品应用示范推荐目录内企业、所投产品获得节能产品或环境标志产品认证证书的企业报价给予</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的价格扣除。</w:t>
            </w:r>
          </w:p>
        </w:tc>
      </w:tr>
      <w:tr w14:paraId="6B44E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right w:val="single" w:color="auto" w:sz="4" w:space="0"/>
            </w:tcBorders>
            <w:vAlign w:val="center"/>
          </w:tcPr>
          <w:p w14:paraId="517256BA">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5.1</w:t>
            </w:r>
          </w:p>
        </w:tc>
        <w:tc>
          <w:tcPr>
            <w:tcW w:w="1720" w:type="dxa"/>
            <w:tcBorders>
              <w:left w:val="single" w:color="auto" w:sz="4" w:space="0"/>
              <w:right w:val="single" w:color="auto" w:sz="4" w:space="0"/>
            </w:tcBorders>
            <w:vAlign w:val="center"/>
          </w:tcPr>
          <w:p w14:paraId="4F283A3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政府采购合同融资政策</w:t>
            </w:r>
          </w:p>
        </w:tc>
        <w:tc>
          <w:tcPr>
            <w:tcW w:w="5841" w:type="dxa"/>
            <w:tcBorders>
              <w:left w:val="single" w:color="auto" w:sz="4" w:space="0"/>
            </w:tcBorders>
            <w:vAlign w:val="center"/>
          </w:tcPr>
          <w:p w14:paraId="7BBADCF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无抵押、低利率、5个工作日内完成审批并放款）</w:t>
            </w:r>
          </w:p>
          <w:p w14:paraId="583EC28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渠道和方式：掇刀区政府采购合同融资平台地址：http://218.200.85.85:9999/duodao登录后线上申报。</w:t>
            </w:r>
          </w:p>
        </w:tc>
      </w:tr>
      <w:tr w14:paraId="38E64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right w:val="single" w:color="auto" w:sz="4" w:space="0"/>
            </w:tcBorders>
            <w:vAlign w:val="center"/>
          </w:tcPr>
          <w:p w14:paraId="64338C42">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6.1</w:t>
            </w:r>
          </w:p>
        </w:tc>
        <w:tc>
          <w:tcPr>
            <w:tcW w:w="1720" w:type="dxa"/>
            <w:tcBorders>
              <w:right w:val="single" w:color="auto" w:sz="4" w:space="0"/>
            </w:tcBorders>
            <w:vAlign w:val="center"/>
          </w:tcPr>
          <w:p w14:paraId="7302426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需要补充的其他内容</w:t>
            </w:r>
          </w:p>
        </w:tc>
        <w:tc>
          <w:tcPr>
            <w:tcW w:w="5841" w:type="dxa"/>
            <w:tcBorders>
              <w:left w:val="single" w:color="auto" w:sz="4" w:space="0"/>
            </w:tcBorders>
            <w:vAlign w:val="center"/>
          </w:tcPr>
          <w:p w14:paraId="1274032B">
            <w:pPr>
              <w:pStyle w:val="95"/>
              <w:rPr>
                <w:rFonts w:hint="eastAsia" w:cs="宋体"/>
                <w:color w:val="000000" w:themeColor="text1"/>
                <w:szCs w:val="24"/>
                <w:u w:val="single"/>
                <w14:textFill>
                  <w14:solidFill>
                    <w14:schemeClr w14:val="tx1"/>
                  </w14:solidFill>
                </w14:textFill>
              </w:rPr>
            </w:pPr>
            <w:r>
              <w:rPr>
                <w:rFonts w:hint="eastAsia" w:cs="宋体"/>
                <w:color w:val="000000" w:themeColor="text1"/>
                <w:szCs w:val="24"/>
                <w14:textFill>
                  <w14:solidFill>
                    <w14:schemeClr w14:val="tx1"/>
                  </w14:solidFill>
                </w14:textFill>
              </w:rPr>
              <w:t>根据工信部 统计局 发改委 财政部《中小企业划型标准规定》（工信部联企业〔2011〕300号），本项目采购标的的对应的中小企业划分标准所属行业为：</w:t>
            </w:r>
            <w:r>
              <w:rPr>
                <w:rFonts w:hint="eastAsia"/>
                <w:color w:val="000000" w:themeColor="text1"/>
                <w:u w:val="single"/>
                <w14:textFill>
                  <w14:solidFill>
                    <w14:schemeClr w14:val="tx1"/>
                  </w14:solidFill>
                </w14:textFill>
              </w:rPr>
              <w:t>工业</w:t>
            </w:r>
            <w:r>
              <w:rPr>
                <w:rFonts w:hint="eastAsia" w:cs="宋体"/>
                <w:color w:val="000000" w:themeColor="text1"/>
                <w:szCs w:val="24"/>
                <w:u w:val="single"/>
                <w14:textFill>
                  <w14:solidFill>
                    <w14:schemeClr w14:val="tx1"/>
                  </w14:solidFill>
                </w14:textFill>
              </w:rPr>
              <w:t>；</w:t>
            </w:r>
          </w:p>
        </w:tc>
      </w:tr>
      <w:tr w14:paraId="04B58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1" w:type="dxa"/>
            <w:gridSpan w:val="3"/>
            <w:vAlign w:val="center"/>
          </w:tcPr>
          <w:p w14:paraId="6BCD92E2">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除本招标文件另有规定外，招标文件中出现的类似于“近三年”或“前三年”、“近五年”或“前五年”均指递交投标文件时间以前三</w:t>
            </w:r>
            <w:r>
              <w:rPr>
                <w:color w:val="000000" w:themeColor="text1"/>
                <w14:textFill>
                  <w14:solidFill>
                    <w14:schemeClr w14:val="tx1"/>
                  </w14:solidFill>
                </w14:textFill>
              </w:rPr>
              <w:t>年或前</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年，以此类推。如：递交投标文件时间为</w:t>
            </w:r>
            <w:r>
              <w:rPr>
                <w:rFonts w:hint="eastAsia"/>
                <w:color w:val="000000" w:themeColor="text1"/>
                <w14:textFill>
                  <w14:solidFill>
                    <w14:schemeClr w14:val="tx1"/>
                  </w14:solidFill>
                </w14:textFill>
              </w:rPr>
              <w:t>2023年5月1日，则“近三年”是指2020年5月1日至2023年4月30日。</w:t>
            </w:r>
          </w:p>
          <w:p w14:paraId="16C3D046">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本招标文件所称的“以上”、“以下”、“内”、“以内”，包括本数；所称的“不足”，不包括本数。</w:t>
            </w:r>
          </w:p>
          <w:p w14:paraId="6AFCF105">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投标人须知前附表中，“</w:t>
            </w:r>
            <w:r>
              <w:rPr>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”代表选中，“</w:t>
            </w:r>
            <w:r>
              <w:rPr>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”代表未选中。</w:t>
            </w:r>
          </w:p>
        </w:tc>
      </w:tr>
    </w:tbl>
    <w:p w14:paraId="331691DD">
      <w:pPr>
        <w:rPr>
          <w:rFonts w:hint="eastAsia"/>
          <w:color w:val="000000" w:themeColor="text1"/>
          <w14:textFill>
            <w14:solidFill>
              <w14:schemeClr w14:val="tx1"/>
            </w14:solidFill>
          </w14:textFill>
        </w:rPr>
      </w:pPr>
    </w:p>
    <w:p w14:paraId="1B6FDEA0">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00D9A707">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附件：</w:t>
      </w:r>
    </w:p>
    <w:p w14:paraId="0E884A48">
      <w:pPr>
        <w:widowControl/>
        <w:shd w:val="clear" w:color="auto" w:fill="FFFFFF"/>
        <w:jc w:val="center"/>
        <w:rPr>
          <w:rFonts w:hint="eastAsia" w:cs="宋体"/>
          <w:color w:val="000000" w:themeColor="text1"/>
          <w:sz w:val="21"/>
          <w:szCs w:val="21"/>
          <w14:textFill>
            <w14:solidFill>
              <w14:schemeClr w14:val="tx1"/>
            </w14:solidFill>
          </w14:textFill>
        </w:rPr>
      </w:pPr>
      <w:r>
        <w:rPr>
          <w:rFonts w:hint="eastAsia" w:cs="宋体"/>
          <w:b/>
          <w:bCs/>
          <w:color w:val="000000" w:themeColor="text1"/>
          <w:sz w:val="28"/>
          <w:szCs w:val="28"/>
          <w14:textFill>
            <w14:solidFill>
              <w14:schemeClr w14:val="tx1"/>
            </w14:solidFill>
          </w14:textFill>
        </w:rPr>
        <w:t>中小企业划型标准规定</w:t>
      </w:r>
    </w:p>
    <w:p w14:paraId="1278F27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一、根据《中华人民共和国中小企业促进法》和《国务院关于进一步促进中小企业发展的若干意见》(国发〔2009〕36号)，制定本规定。</w:t>
      </w:r>
    </w:p>
    <w:p w14:paraId="7B5A96E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二、中小企业划分为中型、小型、微型三种类型，具体标准根据企业从业人员、营业收入、资产总额等指标，结合行业特点制定。</w:t>
      </w:r>
    </w:p>
    <w:p w14:paraId="34BE4F8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94329E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四、各行业划型标准为：</w:t>
      </w:r>
    </w:p>
    <w:p w14:paraId="10467BE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5A45C5C8">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7052BA">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E1B67E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4B590C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D935E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C8E0BF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63166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CC077A">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8C727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06AD6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88261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E947F9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45655C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ED74AB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104BD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01159BA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五、企业类型的划分以统计部门的统计数据为依据。</w:t>
      </w:r>
    </w:p>
    <w:p w14:paraId="00D6DC0A">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4B6D88EA">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6D0A139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八、本规定由工业和信息化部、国家统计局会同有关部门根据《国民经济行业分类》修订情况和企业发展变化情况适时修订。</w:t>
      </w:r>
    </w:p>
    <w:p w14:paraId="62CFB0F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九、本规定由工业和信息化部、国家统计局会同有关部门负责解释。</w:t>
      </w:r>
    </w:p>
    <w:p w14:paraId="19EADDA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十、本规定自发布之日起执行，原国家经贸委、原国家计委、财政部和国家统计局2003年颁布的《中小企业标准暂行规定》同时废止。</w:t>
      </w:r>
    </w:p>
    <w:p w14:paraId="22E41750">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7890D37A">
      <w:pPr>
        <w:pStyle w:val="4"/>
        <w:numPr>
          <w:ilvl w:val="0"/>
          <w:numId w:val="10"/>
        </w:numPr>
        <w:spacing w:before="0" w:after="0"/>
        <w:ind w:left="0"/>
        <w:rPr>
          <w:rFonts w:hint="eastAsia"/>
          <w:color w:val="000000" w:themeColor="text1"/>
          <w14:textFill>
            <w14:solidFill>
              <w14:schemeClr w14:val="tx1"/>
            </w14:solidFill>
          </w14:textFill>
        </w:rPr>
      </w:pPr>
      <w:bookmarkStart w:id="87" w:name="_Toc155185869"/>
      <w:bookmarkStart w:id="88" w:name="_Toc1338"/>
      <w:r>
        <w:rPr>
          <w:rFonts w:hint="eastAsia"/>
          <w:color w:val="000000" w:themeColor="text1"/>
          <w14:textFill>
            <w14:solidFill>
              <w14:schemeClr w14:val="tx1"/>
            </w14:solidFill>
          </w14:textFill>
        </w:rPr>
        <w:t>投标人须知</w:t>
      </w:r>
      <w:bookmarkEnd w:id="87"/>
      <w:bookmarkEnd w:id="88"/>
    </w:p>
    <w:p w14:paraId="3E077291">
      <w:pPr>
        <w:pStyle w:val="5"/>
        <w:numPr>
          <w:ilvl w:val="0"/>
          <w:numId w:val="11"/>
        </w:numPr>
        <w:spacing w:before="0" w:after="0"/>
        <w:ind w:left="0"/>
        <w:rPr>
          <w:rFonts w:hint="eastAsia"/>
          <w:color w:val="000000" w:themeColor="text1"/>
          <w14:textFill>
            <w14:solidFill>
              <w14:schemeClr w14:val="tx1"/>
            </w14:solidFill>
          </w14:textFill>
        </w:rPr>
      </w:pPr>
      <w:bookmarkStart w:id="89" w:name="_Toc29494"/>
      <w:bookmarkStart w:id="90" w:name="_Toc155185870"/>
      <w:bookmarkStart w:id="91" w:name="_Toc31644"/>
      <w:r>
        <w:rPr>
          <w:rFonts w:hint="eastAsia"/>
          <w:color w:val="000000" w:themeColor="text1"/>
          <w14:textFill>
            <w14:solidFill>
              <w14:schemeClr w14:val="tx1"/>
            </w14:solidFill>
          </w14:textFill>
        </w:rPr>
        <w:t>总则</w:t>
      </w:r>
      <w:bookmarkEnd w:id="89"/>
      <w:bookmarkEnd w:id="90"/>
      <w:bookmarkEnd w:id="91"/>
    </w:p>
    <w:p w14:paraId="731421F7">
      <w:pPr>
        <w:pStyle w:val="6"/>
        <w:numPr>
          <w:ilvl w:val="0"/>
          <w:numId w:val="12"/>
        </w:numPr>
        <w:spacing w:before="0" w:after="0"/>
        <w:ind w:left="0"/>
        <w:rPr>
          <w:rFonts w:hint="eastAsia"/>
          <w:color w:val="000000" w:themeColor="text1"/>
          <w14:textFill>
            <w14:solidFill>
              <w14:schemeClr w14:val="tx1"/>
            </w14:solidFill>
          </w14:textFill>
        </w:rPr>
      </w:pPr>
      <w:bookmarkStart w:id="92" w:name="_Toc109899631"/>
      <w:bookmarkStart w:id="93" w:name="_Toc109900469"/>
      <w:bookmarkStart w:id="94" w:name="_Toc31233"/>
      <w:bookmarkStart w:id="95" w:name="_Toc29536"/>
      <w:bookmarkStart w:id="96" w:name="_Toc109897532"/>
      <w:bookmarkStart w:id="97" w:name="_Toc155095689"/>
      <w:bookmarkStart w:id="98" w:name="_Toc109900050"/>
      <w:bookmarkStart w:id="99" w:name="_Toc14626"/>
      <w:r>
        <w:rPr>
          <w:rFonts w:hint="eastAsia"/>
          <w:color w:val="000000" w:themeColor="text1"/>
          <w14:textFill>
            <w14:solidFill>
              <w14:schemeClr w14:val="tx1"/>
            </w14:solidFill>
          </w14:textFill>
        </w:rPr>
        <w:t>适用范围</w:t>
      </w:r>
      <w:bookmarkEnd w:id="92"/>
      <w:bookmarkEnd w:id="93"/>
      <w:bookmarkEnd w:id="94"/>
      <w:bookmarkEnd w:id="95"/>
      <w:bookmarkEnd w:id="96"/>
      <w:bookmarkEnd w:id="97"/>
      <w:bookmarkEnd w:id="98"/>
      <w:bookmarkEnd w:id="99"/>
    </w:p>
    <w:p w14:paraId="3AC0D79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1.1本招标文件仅适用于本次公开招标中所述项目的采购活动。</w:t>
      </w:r>
    </w:p>
    <w:p w14:paraId="3699D1C0">
      <w:pPr>
        <w:pStyle w:val="6"/>
        <w:numPr>
          <w:ilvl w:val="0"/>
          <w:numId w:val="12"/>
        </w:numPr>
        <w:spacing w:before="0" w:after="0"/>
        <w:ind w:left="0"/>
        <w:rPr>
          <w:rFonts w:hint="eastAsia"/>
          <w:color w:val="000000" w:themeColor="text1"/>
          <w14:textFill>
            <w14:solidFill>
              <w14:schemeClr w14:val="tx1"/>
            </w14:solidFill>
          </w14:textFill>
        </w:rPr>
      </w:pPr>
      <w:bookmarkStart w:id="100" w:name="_Toc331"/>
      <w:bookmarkStart w:id="101" w:name="_Toc20546"/>
      <w:r>
        <w:rPr>
          <w:rFonts w:hint="eastAsia"/>
          <w:color w:val="000000" w:themeColor="text1"/>
          <w14:textFill>
            <w14:solidFill>
              <w14:schemeClr w14:val="tx1"/>
            </w14:solidFill>
          </w14:textFill>
        </w:rPr>
        <w:t>基本定义</w:t>
      </w:r>
      <w:bookmarkEnd w:id="100"/>
      <w:bookmarkEnd w:id="101"/>
    </w:p>
    <w:p w14:paraId="48A7457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2.1根据《中华人民共和国政府采购法》及其实施条例等有关法律、法规和规章的规定，制定本招标文件。</w:t>
      </w:r>
    </w:p>
    <w:p w14:paraId="7F7F5E4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2.2采购人：见“投标人须知前附表”。</w:t>
      </w:r>
    </w:p>
    <w:p w14:paraId="385043E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2.3采购代理机构：见“投标人须知前附表”。</w:t>
      </w:r>
    </w:p>
    <w:p w14:paraId="5164C90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2.4政府采购监督管理部门：</w:t>
      </w:r>
      <w:r>
        <w:rPr>
          <w:color w:val="000000" w:themeColor="text1"/>
          <w14:textFill>
            <w14:solidFill>
              <w14:schemeClr w14:val="tx1"/>
            </w14:solidFill>
          </w14:textFill>
        </w:rPr>
        <w:t>见</w:t>
      </w:r>
      <w:r>
        <w:rPr>
          <w:rFonts w:hint="eastAsia"/>
          <w:color w:val="000000" w:themeColor="text1"/>
          <w14:textFill>
            <w14:solidFill>
              <w14:schemeClr w14:val="tx1"/>
            </w14:solidFill>
          </w14:textFill>
        </w:rPr>
        <w:t>“投标人须知前附表”。</w:t>
      </w:r>
    </w:p>
    <w:p w14:paraId="25F9971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项目名称：见“投标人须知前附表”。</w:t>
      </w:r>
    </w:p>
    <w:p w14:paraId="6F429D6C">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项目地点：见“投标人须知前附表”。</w:t>
      </w:r>
    </w:p>
    <w:p w14:paraId="4C4763D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项目内容：见“投标人须知前附表”。</w:t>
      </w:r>
    </w:p>
    <w:p w14:paraId="68A47B6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2.8项目属性：见“投标人须知前附表”。</w:t>
      </w:r>
    </w:p>
    <w:p w14:paraId="76602B23">
      <w:pPr>
        <w:pStyle w:val="6"/>
        <w:numPr>
          <w:ilvl w:val="0"/>
          <w:numId w:val="12"/>
        </w:numPr>
        <w:spacing w:before="0" w:after="0"/>
        <w:ind w:left="0"/>
        <w:rPr>
          <w:rFonts w:hint="eastAsia"/>
          <w:color w:val="000000" w:themeColor="text1"/>
          <w14:textFill>
            <w14:solidFill>
              <w14:schemeClr w14:val="tx1"/>
            </w14:solidFill>
          </w14:textFill>
        </w:rPr>
      </w:pPr>
      <w:bookmarkStart w:id="102" w:name="_Toc9898"/>
      <w:bookmarkStart w:id="103" w:name="_Toc140132758"/>
      <w:bookmarkStart w:id="104" w:name="_Toc9751"/>
      <w:r>
        <w:rPr>
          <w:rFonts w:hint="eastAsia"/>
          <w:color w:val="000000" w:themeColor="text1"/>
          <w14:textFill>
            <w14:solidFill>
              <w14:schemeClr w14:val="tx1"/>
            </w14:solidFill>
          </w14:textFill>
        </w:rPr>
        <w:t>资金来源</w:t>
      </w:r>
      <w:bookmarkEnd w:id="102"/>
      <w:bookmarkEnd w:id="103"/>
      <w:bookmarkEnd w:id="104"/>
    </w:p>
    <w:p w14:paraId="20690B2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3.1资金来源：见“投标人须知前附表”。</w:t>
      </w:r>
    </w:p>
    <w:p w14:paraId="04F9291B">
      <w:pPr>
        <w:pStyle w:val="6"/>
        <w:numPr>
          <w:ilvl w:val="0"/>
          <w:numId w:val="12"/>
        </w:numPr>
        <w:spacing w:before="0" w:after="0"/>
        <w:ind w:left="0"/>
        <w:rPr>
          <w:rFonts w:hint="eastAsia"/>
          <w:color w:val="000000" w:themeColor="text1"/>
          <w14:textFill>
            <w14:solidFill>
              <w14:schemeClr w14:val="tx1"/>
            </w14:solidFill>
          </w14:textFill>
        </w:rPr>
      </w:pPr>
      <w:bookmarkStart w:id="105" w:name="_Toc140132760"/>
      <w:bookmarkStart w:id="106" w:name="_Toc3274"/>
      <w:bookmarkStart w:id="107" w:name="_Toc377"/>
      <w:r>
        <w:rPr>
          <w:rFonts w:hint="eastAsia"/>
          <w:color w:val="000000" w:themeColor="text1"/>
          <w14:textFill>
            <w14:solidFill>
              <w14:schemeClr w14:val="tx1"/>
            </w14:solidFill>
          </w14:textFill>
        </w:rPr>
        <w:t>投标人资格要求</w:t>
      </w:r>
      <w:bookmarkEnd w:id="105"/>
      <w:bookmarkEnd w:id="106"/>
      <w:bookmarkEnd w:id="107"/>
    </w:p>
    <w:p w14:paraId="52DC2EB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4.1投标人资格要求：见“投标人须知前附表”；</w:t>
      </w:r>
    </w:p>
    <w:p w14:paraId="3AC7886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4.2“投标人须知前附表”规定接受联合体投标的，还应遵守以下规定： </w:t>
      </w:r>
    </w:p>
    <w:p w14:paraId="3C12789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（1）联合体各方应按招标文件提供的格式签订联合体协议书，明确联合体牵头人和各方权利义务；</w:t>
      </w:r>
    </w:p>
    <w:p w14:paraId="65BC987C">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（2）由同一专业的单位组成的联合体，按照资质等级较低的单位确定资质等级；</w:t>
      </w:r>
    </w:p>
    <w:p w14:paraId="0C95C37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（3）联合体各方不得再以自己名义单独或参加其他联合体在本招标项目中投标。</w:t>
      </w:r>
    </w:p>
    <w:p w14:paraId="1EC74C93">
      <w:pPr>
        <w:pStyle w:val="6"/>
        <w:numPr>
          <w:ilvl w:val="0"/>
          <w:numId w:val="12"/>
        </w:numPr>
        <w:spacing w:before="0" w:after="0"/>
        <w:ind w:left="0"/>
        <w:rPr>
          <w:rFonts w:hint="eastAsia"/>
          <w:color w:val="000000" w:themeColor="text1"/>
          <w14:textFill>
            <w14:solidFill>
              <w14:schemeClr w14:val="tx1"/>
            </w14:solidFill>
          </w14:textFill>
        </w:rPr>
      </w:pPr>
      <w:bookmarkStart w:id="108" w:name="_Toc12726"/>
      <w:bookmarkStart w:id="109" w:name="_Toc10318"/>
      <w:r>
        <w:rPr>
          <w:rFonts w:hint="eastAsia"/>
          <w:color w:val="000000" w:themeColor="text1"/>
          <w14:textFill>
            <w14:solidFill>
              <w14:schemeClr w14:val="tx1"/>
            </w14:solidFill>
          </w14:textFill>
        </w:rPr>
        <w:t>费用承担</w:t>
      </w:r>
      <w:bookmarkEnd w:id="108"/>
      <w:bookmarkEnd w:id="109"/>
    </w:p>
    <w:p w14:paraId="30C485B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5.1不论投标的结果如何，投标人应承担所有与准备和参加投标有关的费用。</w:t>
      </w:r>
    </w:p>
    <w:p w14:paraId="4FC0B55F">
      <w:pPr>
        <w:pStyle w:val="6"/>
        <w:numPr>
          <w:ilvl w:val="0"/>
          <w:numId w:val="12"/>
        </w:numPr>
        <w:spacing w:before="0" w:after="0"/>
        <w:ind w:left="0"/>
        <w:rPr>
          <w:rFonts w:hint="eastAsia"/>
          <w:color w:val="000000" w:themeColor="text1"/>
          <w14:textFill>
            <w14:solidFill>
              <w14:schemeClr w14:val="tx1"/>
            </w14:solidFill>
          </w14:textFill>
        </w:rPr>
      </w:pPr>
      <w:bookmarkStart w:id="110" w:name="_Toc140132761"/>
      <w:bookmarkStart w:id="111" w:name="_Toc15043"/>
      <w:bookmarkStart w:id="112" w:name="_Toc3658"/>
      <w:r>
        <w:rPr>
          <w:rFonts w:hint="eastAsia"/>
          <w:color w:val="000000" w:themeColor="text1"/>
          <w14:textFill>
            <w14:solidFill>
              <w14:schemeClr w14:val="tx1"/>
            </w14:solidFill>
          </w14:textFill>
        </w:rPr>
        <w:t>保密</w:t>
      </w:r>
      <w:bookmarkEnd w:id="110"/>
      <w:bookmarkEnd w:id="111"/>
      <w:bookmarkEnd w:id="112"/>
    </w:p>
    <w:p w14:paraId="42E678B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6.1参与招标投标活动的各方应对招标文件和投标文件中的商业和技术等秘密保密，否则应承担相应的法律责任。 </w:t>
      </w:r>
    </w:p>
    <w:p w14:paraId="45D0A158">
      <w:pPr>
        <w:pStyle w:val="6"/>
        <w:numPr>
          <w:ilvl w:val="0"/>
          <w:numId w:val="12"/>
        </w:numPr>
        <w:spacing w:before="0" w:after="0"/>
        <w:ind w:left="0"/>
        <w:rPr>
          <w:rFonts w:hint="eastAsia"/>
          <w:color w:val="000000" w:themeColor="text1"/>
          <w14:textFill>
            <w14:solidFill>
              <w14:schemeClr w14:val="tx1"/>
            </w14:solidFill>
          </w14:textFill>
        </w:rPr>
      </w:pPr>
      <w:bookmarkStart w:id="113" w:name="_Toc28541"/>
      <w:bookmarkStart w:id="114" w:name="_Toc140132762"/>
      <w:bookmarkStart w:id="115" w:name="_Toc3119"/>
      <w:r>
        <w:rPr>
          <w:rFonts w:hint="eastAsia"/>
          <w:color w:val="000000" w:themeColor="text1"/>
          <w14:textFill>
            <w14:solidFill>
              <w14:schemeClr w14:val="tx1"/>
            </w14:solidFill>
          </w14:textFill>
        </w:rPr>
        <w:t>语言文字</w:t>
      </w:r>
      <w:bookmarkEnd w:id="113"/>
      <w:bookmarkEnd w:id="114"/>
      <w:bookmarkEnd w:id="115"/>
    </w:p>
    <w:p w14:paraId="72F3145A">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7.1招标投标文件使用的语言文字为中文。专用术语使用外文的，应附有中文注释。</w:t>
      </w:r>
    </w:p>
    <w:p w14:paraId="1A7A7F50">
      <w:pPr>
        <w:pStyle w:val="6"/>
        <w:numPr>
          <w:ilvl w:val="0"/>
          <w:numId w:val="12"/>
        </w:numPr>
        <w:spacing w:before="0" w:after="0"/>
        <w:ind w:left="0"/>
        <w:rPr>
          <w:rFonts w:hint="eastAsia"/>
          <w:color w:val="000000" w:themeColor="text1"/>
          <w14:textFill>
            <w14:solidFill>
              <w14:schemeClr w14:val="tx1"/>
            </w14:solidFill>
          </w14:textFill>
        </w:rPr>
      </w:pPr>
      <w:bookmarkStart w:id="116" w:name="_Toc18976"/>
      <w:bookmarkStart w:id="117" w:name="_Toc140132763"/>
      <w:bookmarkStart w:id="118" w:name="_Toc13988"/>
      <w:r>
        <w:rPr>
          <w:rFonts w:hint="eastAsia"/>
          <w:color w:val="000000" w:themeColor="text1"/>
          <w14:textFill>
            <w14:solidFill>
              <w14:schemeClr w14:val="tx1"/>
            </w14:solidFill>
          </w14:textFill>
        </w:rPr>
        <w:t>计量单位</w:t>
      </w:r>
      <w:bookmarkEnd w:id="116"/>
      <w:bookmarkEnd w:id="117"/>
      <w:bookmarkEnd w:id="118"/>
    </w:p>
    <w:p w14:paraId="04D8A34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8.1所有计量均采用中华人民共和国法定计量单位。</w:t>
      </w:r>
    </w:p>
    <w:p w14:paraId="419C2E5C">
      <w:pPr>
        <w:pStyle w:val="6"/>
        <w:numPr>
          <w:ilvl w:val="0"/>
          <w:numId w:val="12"/>
        </w:numPr>
        <w:spacing w:before="0" w:after="0"/>
        <w:ind w:left="0"/>
        <w:rPr>
          <w:rFonts w:hint="eastAsia"/>
          <w:color w:val="000000" w:themeColor="text1"/>
          <w14:textFill>
            <w14:solidFill>
              <w14:schemeClr w14:val="tx1"/>
            </w14:solidFill>
          </w14:textFill>
        </w:rPr>
      </w:pPr>
      <w:bookmarkStart w:id="119" w:name="_Toc140132764"/>
      <w:bookmarkStart w:id="120" w:name="_Toc28617"/>
      <w:bookmarkStart w:id="121" w:name="_Toc22129"/>
      <w:r>
        <w:rPr>
          <w:rFonts w:hint="eastAsia"/>
          <w:color w:val="000000" w:themeColor="text1"/>
          <w14:textFill>
            <w14:solidFill>
              <w14:schemeClr w14:val="tx1"/>
            </w14:solidFill>
          </w14:textFill>
        </w:rPr>
        <w:t>现场考察和答疑会</w:t>
      </w:r>
      <w:bookmarkEnd w:id="119"/>
      <w:bookmarkEnd w:id="120"/>
      <w:bookmarkEnd w:id="121"/>
    </w:p>
    <w:p w14:paraId="18026B2E">
      <w:pPr>
        <w:pStyle w:val="91"/>
        <w:wordWrap/>
        <w:rPr>
          <w:rFonts w:hint="eastAsia"/>
          <w:color w:val="000000" w:themeColor="text1"/>
          <w14:textFill>
            <w14:solidFill>
              <w14:schemeClr w14:val="tx1"/>
            </w14:solidFill>
          </w14:textFill>
        </w:rPr>
      </w:pPr>
      <w:bookmarkStart w:id="122" w:name="_Hlk143529198"/>
      <w:r>
        <w:rPr>
          <w:rFonts w:hint="eastAsia"/>
          <w:color w:val="000000" w:themeColor="text1"/>
          <w14:textFill>
            <w14:solidFill>
              <w14:schemeClr w14:val="tx1"/>
            </w14:solidFill>
          </w14:textFill>
        </w:rPr>
        <w:t xml:space="preserve">9.1 “投标人须知前附表”规定组织现场考察的，采购代理机构按“投标人须知前附表”规定的时间、地点组织投标人项目现场考察。 </w:t>
      </w:r>
    </w:p>
    <w:p w14:paraId="0798F36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9.2 投标人现场考察发生的费用自理。</w:t>
      </w:r>
    </w:p>
    <w:p w14:paraId="206C94F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9.3 在现场考察中，因投标人自身原因发生的人员伤亡和财产损失，由投标人自行负责。</w:t>
      </w:r>
    </w:p>
    <w:p w14:paraId="193E9B9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9.4 采购人在现场考察中介绍的项目场地和相关的周边环境情况，仅供投标人在编制投标文件时参考，采购人和采购代理机构不对投标人据此作出的判断和决策负责。</w:t>
      </w:r>
    </w:p>
    <w:p w14:paraId="31AFBD3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9.5 “投标人须知前附表”规定召开答疑会的，采购代理机构按“投标人须知前附表”规定的时间和地点召开答疑会，澄清投标人提出的问题。</w:t>
      </w:r>
    </w:p>
    <w:bookmarkEnd w:id="122"/>
    <w:p w14:paraId="31C3B465">
      <w:pPr>
        <w:pStyle w:val="6"/>
        <w:numPr>
          <w:ilvl w:val="0"/>
          <w:numId w:val="12"/>
        </w:numPr>
        <w:spacing w:before="0" w:after="0"/>
        <w:ind w:left="0"/>
        <w:rPr>
          <w:rFonts w:hint="eastAsia"/>
          <w:color w:val="000000" w:themeColor="text1"/>
          <w14:textFill>
            <w14:solidFill>
              <w14:schemeClr w14:val="tx1"/>
            </w14:solidFill>
          </w14:textFill>
        </w:rPr>
      </w:pPr>
      <w:bookmarkStart w:id="123" w:name="_Toc140132765"/>
      <w:bookmarkStart w:id="124" w:name="_Toc2239"/>
      <w:bookmarkStart w:id="125" w:name="_Toc27648"/>
      <w:r>
        <w:rPr>
          <w:rFonts w:hint="eastAsia"/>
          <w:color w:val="000000" w:themeColor="text1"/>
          <w14:textFill>
            <w14:solidFill>
              <w14:schemeClr w14:val="tx1"/>
            </w14:solidFill>
          </w14:textFill>
        </w:rPr>
        <w:t>中标后分包</w:t>
      </w:r>
      <w:bookmarkEnd w:id="123"/>
      <w:bookmarkEnd w:id="124"/>
      <w:bookmarkEnd w:id="125"/>
    </w:p>
    <w:p w14:paraId="099D2A6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10.1 “投标人须知前附表”规定允许分包的，投标人应当遵守其分包规定。</w:t>
      </w:r>
    </w:p>
    <w:p w14:paraId="493CEDF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10.2 投标人未遵守招标文件分包规定的，其</w:t>
      </w:r>
      <w:r>
        <w:rPr>
          <w:rFonts w:hint="eastAsia"/>
          <w:b/>
          <w:bCs/>
          <w:color w:val="000000" w:themeColor="text1"/>
          <w14:textFill>
            <w14:solidFill>
              <w14:schemeClr w14:val="tx1"/>
            </w14:solidFill>
          </w14:textFill>
        </w:rPr>
        <w:t>投标无效</w:t>
      </w:r>
      <w:r>
        <w:rPr>
          <w:rFonts w:hint="eastAsia"/>
          <w:color w:val="000000" w:themeColor="text1"/>
          <w14:textFill>
            <w14:solidFill>
              <w14:schemeClr w14:val="tx1"/>
            </w14:solidFill>
          </w14:textFill>
        </w:rPr>
        <w:t>。分包规定见“投标人须知前附表”。</w:t>
      </w:r>
    </w:p>
    <w:p w14:paraId="329250E4">
      <w:pPr>
        <w:pStyle w:val="6"/>
        <w:numPr>
          <w:ilvl w:val="0"/>
          <w:numId w:val="12"/>
        </w:numPr>
        <w:spacing w:before="0" w:after="0"/>
        <w:ind w:left="0"/>
        <w:rPr>
          <w:rFonts w:hint="eastAsia"/>
          <w:color w:val="000000" w:themeColor="text1"/>
          <w14:textFill>
            <w14:solidFill>
              <w14:schemeClr w14:val="tx1"/>
            </w14:solidFill>
          </w14:textFill>
        </w:rPr>
      </w:pPr>
      <w:bookmarkStart w:id="126" w:name="_Toc155185858"/>
      <w:bookmarkStart w:id="127" w:name="_Toc19666"/>
      <w:bookmarkStart w:id="128" w:name="_Toc10307"/>
      <w:bookmarkStart w:id="129" w:name="_Toc155185871"/>
      <w:r>
        <w:rPr>
          <w:rFonts w:hint="eastAsia"/>
          <w:color w:val="000000" w:themeColor="text1"/>
          <w14:textFill>
            <w14:solidFill>
              <w14:schemeClr w14:val="tx1"/>
            </w14:solidFill>
          </w14:textFill>
        </w:rPr>
        <w:t>电子投标说明</w:t>
      </w:r>
      <w:bookmarkEnd w:id="126"/>
      <w:bookmarkEnd w:id="127"/>
      <w:bookmarkEnd w:id="128"/>
    </w:p>
    <w:p w14:paraId="24CEDDE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将在湖北省政府采购网、掇刀区政府采购电子交易平台上以更正公告的形式发布。潜在投标人需密切关注该网站，及时查看并下载相关更正公告。若因潜在投标人未能及时查看或下载相关更正公告，而导致的一切后果，将由潜在投标人自行承担；</w:t>
      </w:r>
    </w:p>
    <w:p w14:paraId="345D804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1.2制作电子投标文件需要数字证书（简称“CA”）和电子签章，请</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及时办理数字证书及电子签章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并在“</w:t>
      </w:r>
      <w:bookmarkStart w:id="130" w:name="_Hlk185256570"/>
      <w:r>
        <w:rPr>
          <w:rFonts w:hint="eastAsia" w:cs="仿宋_GB2312"/>
          <w:color w:val="000000" w:themeColor="text1"/>
          <w:szCs w:val="24"/>
          <w:u w:val="single"/>
          <w14:textFill>
            <w14:solidFill>
              <w14:schemeClr w14:val="tx1"/>
            </w14:solidFill>
          </w14:textFill>
        </w:rPr>
        <w:t>掇刀区政府采购电子交易平台</w:t>
      </w:r>
      <w:bookmarkEnd w:id="130"/>
      <w:r>
        <w:rPr>
          <w:rFonts w:hint="eastAsia" w:cs="仿宋_GB2312"/>
          <w:color w:val="000000" w:themeColor="text1"/>
          <w:szCs w:val="24"/>
          <w:u w:val="single"/>
          <w14:textFill>
            <w14:solidFill>
              <w14:schemeClr w14:val="tx1"/>
            </w14:solidFill>
          </w14:textFill>
        </w:rPr>
        <w:t>（http://dd.hbncp.com.cn）</w:t>
      </w:r>
      <w:r>
        <w:rPr>
          <w:color w:val="000000" w:themeColor="text1"/>
          <w14:textFill>
            <w14:solidFill>
              <w14:schemeClr w14:val="tx1"/>
            </w14:solidFill>
          </w14:textFill>
        </w:rPr>
        <w:t>”中完成数字证书绑定；</w:t>
      </w:r>
    </w:p>
    <w:p w14:paraId="77FBC5D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11.3数字证书及电子签章必须是在“</w:t>
      </w:r>
      <w:r>
        <w:rPr>
          <w:rFonts w:hint="eastAsia"/>
          <w:color w:val="000000" w:themeColor="text1"/>
          <w:u w:val="single"/>
          <w14:textFill>
            <w14:solidFill>
              <w14:schemeClr w14:val="tx1"/>
            </w14:solidFill>
          </w14:textFill>
        </w:rPr>
        <w:t>掇刀区政府采购电子交易平台（http://dd.hbncp.com.cn）</w:t>
      </w:r>
      <w:r>
        <w:rPr>
          <w:color w:val="000000" w:themeColor="text1"/>
          <w14:textFill>
            <w14:solidFill>
              <w14:schemeClr w14:val="tx1"/>
            </w14:solidFill>
          </w14:textFill>
        </w:rPr>
        <w:t>中实现了互联互通对接的产品。办理详</w:t>
      </w:r>
      <w:r>
        <w:rPr>
          <w:rFonts w:hint="eastAsia"/>
          <w:color w:val="000000" w:themeColor="text1"/>
          <w:lang w:val="en-US"/>
          <w14:textFill>
            <w14:solidFill>
              <w14:schemeClr w14:val="tx1"/>
            </w14:solidFill>
          </w14:textFill>
        </w:rPr>
        <w:t>情可登录</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掇刀区政府采购电子交易平台（http://dd.hbncp.com.cn）</w:t>
      </w:r>
      <w:r>
        <w:rPr>
          <w:color w:val="000000" w:themeColor="text1"/>
          <w14:textFill>
            <w14:solidFill>
              <w14:schemeClr w14:val="tx1"/>
            </w14:solidFill>
          </w14:textFill>
        </w:rPr>
        <w:t>”</w:t>
      </w:r>
      <w:r>
        <w:rPr>
          <w:rFonts w:hint="eastAsia"/>
          <w:color w:val="000000" w:themeColor="text1"/>
          <w:lang w:val="en-US"/>
          <w14:textFill>
            <w14:solidFill>
              <w14:schemeClr w14:val="tx1"/>
            </w14:solidFill>
          </w14:textFill>
        </w:rPr>
        <w:t>咨询平台</w:t>
      </w:r>
      <w:r>
        <w:rPr>
          <w:rFonts w:hint="eastAsia"/>
          <w:color w:val="000000" w:themeColor="text1"/>
          <w14:textFill>
            <w14:solidFill>
              <w14:schemeClr w14:val="tx1"/>
            </w14:solidFill>
          </w14:textFill>
        </w:rPr>
        <w:t>客服，客服电话：</w:t>
      </w:r>
      <w:r>
        <w:rPr>
          <w:rFonts w:ascii="微软雅黑" w:hAnsi="微软雅黑" w:eastAsia="微软雅黑" w:cs="微软雅黑"/>
          <w:color w:val="000000" w:themeColor="text1"/>
          <w:sz w:val="21"/>
          <w:szCs w:val="21"/>
          <w14:textFill>
            <w14:solidFill>
              <w14:schemeClr w14:val="tx1"/>
            </w14:solidFill>
          </w14:textFill>
        </w:rPr>
        <w:t>400-112-9919, 027-88660911</w:t>
      </w:r>
      <w:r>
        <w:rPr>
          <w:color w:val="000000" w:themeColor="text1"/>
          <w14:textFill>
            <w14:solidFill>
              <w14:schemeClr w14:val="tx1"/>
            </w14:solidFill>
          </w14:textFill>
        </w:rPr>
        <w:t>。</w:t>
      </w:r>
    </w:p>
    <w:p w14:paraId="2AECDE9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1.4本招标文件中电子化招标采购的有关概念：</w:t>
      </w:r>
    </w:p>
    <w:p w14:paraId="482E0781">
      <w:pPr>
        <w:pStyle w:val="91"/>
        <w:numPr>
          <w:ilvl w:val="0"/>
          <w:numId w:val="13"/>
        </w:numPr>
        <w:wordWrap/>
        <w:ind w:left="0"/>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电子签名</w:t>
      </w:r>
      <w:r>
        <w:rPr>
          <w:rFonts w:hint="eastAsia"/>
          <w:color w:val="000000" w:themeColor="text1"/>
          <w14:textFill>
            <w14:solidFill>
              <w14:schemeClr w14:val="tx1"/>
            </w14:solidFill>
          </w14:textFill>
        </w:rPr>
        <w:t>：指运用电子密码技术，在数据电文中以电子形式所含，用于识别签名人（法人或自然人）身份并表明签名人认可其中内容的数据。</w:t>
      </w:r>
    </w:p>
    <w:p w14:paraId="11CA0C75">
      <w:pPr>
        <w:pStyle w:val="91"/>
        <w:numPr>
          <w:ilvl w:val="0"/>
          <w:numId w:val="13"/>
        </w:numPr>
        <w:wordWrap/>
        <w:ind w:left="0"/>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电子印章</w:t>
      </w:r>
      <w:r>
        <w:rPr>
          <w:rFonts w:hint="eastAsia"/>
          <w:color w:val="000000" w:themeColor="text1"/>
          <w14:textFill>
            <w14:solidFill>
              <w14:schemeClr w14:val="tx1"/>
            </w14:solidFill>
          </w14:textFill>
        </w:rPr>
        <w:t>：指模拟在纸质文件上加盖传统实物印章的外观和方式进行电子签名的形式。</w:t>
      </w:r>
    </w:p>
    <w:p w14:paraId="2D1A3378">
      <w:pPr>
        <w:pStyle w:val="91"/>
        <w:numPr>
          <w:ilvl w:val="0"/>
          <w:numId w:val="13"/>
        </w:numPr>
        <w:wordWrap/>
        <w:ind w:left="0"/>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数字证书（简称“</w:t>
      </w:r>
      <w:r>
        <w:rPr>
          <w:b/>
          <w:bCs/>
          <w:color w:val="000000" w:themeColor="text1"/>
          <w14:textFill>
            <w14:solidFill>
              <w14:schemeClr w14:val="tx1"/>
            </w14:solidFill>
          </w14:textFill>
        </w:rPr>
        <w:t>CA”）：</w:t>
      </w:r>
      <w:r>
        <w:rPr>
          <w:color w:val="000000" w:themeColor="text1"/>
          <w14:textFill>
            <w14:solidFill>
              <w14:schemeClr w14:val="tx1"/>
            </w14:solidFill>
          </w14:textFill>
        </w:rPr>
        <w:t>经过有关部门认可的电子认证服务机构基于 PKI 技术签发、认证和管理的数字证书。CA 证书具有数据电文交换中身份识别、电子签名、加密解密等功能。</w:t>
      </w:r>
    </w:p>
    <w:p w14:paraId="28D48C90">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11.5</w:t>
      </w:r>
      <w:r>
        <w:rPr>
          <w:rFonts w:hint="eastAsia"/>
          <w:color w:val="000000" w:themeColor="text1"/>
          <w14:textFill>
            <w14:solidFill>
              <w14:schemeClr w14:val="tx1"/>
            </w14:solidFill>
          </w14:textFill>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381D2E9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11.6</w:t>
      </w:r>
      <w:r>
        <w:rPr>
          <w:rFonts w:hint="eastAsia"/>
          <w:color w:val="000000" w:themeColor="text1"/>
          <w14:textFill>
            <w14:solidFill>
              <w14:schemeClr w14:val="tx1"/>
            </w14:solidFill>
          </w14:textFill>
        </w:rPr>
        <w:t>政府采购交易系统</w:t>
      </w:r>
      <w:r>
        <w:rPr>
          <w:color w:val="000000" w:themeColor="text1"/>
          <w14:textFill>
            <w14:solidFill>
              <w14:schemeClr w14:val="tx1"/>
            </w14:solidFill>
          </w14:textFill>
        </w:rPr>
        <w:t>联系方式详见“投标人须知前附表”</w:t>
      </w:r>
      <w:r>
        <w:rPr>
          <w:rFonts w:hint="eastAsia"/>
          <w:color w:val="000000" w:themeColor="text1"/>
          <w14:textFill>
            <w14:solidFill>
              <w14:schemeClr w14:val="tx1"/>
            </w14:solidFill>
          </w14:textFill>
        </w:rPr>
        <w:t>。</w:t>
      </w:r>
    </w:p>
    <w:p w14:paraId="10B37A1F">
      <w:pPr>
        <w:pStyle w:val="5"/>
        <w:numPr>
          <w:ilvl w:val="0"/>
          <w:numId w:val="11"/>
        </w:numPr>
        <w:spacing w:before="0" w:after="0"/>
        <w:ind w:left="0"/>
        <w:rPr>
          <w:rFonts w:hint="eastAsia"/>
          <w:color w:val="000000" w:themeColor="text1"/>
          <w14:textFill>
            <w14:solidFill>
              <w14:schemeClr w14:val="tx1"/>
            </w14:solidFill>
          </w14:textFill>
        </w:rPr>
      </w:pPr>
      <w:bookmarkStart w:id="131" w:name="_Toc1193"/>
      <w:bookmarkStart w:id="132" w:name="_Toc12768"/>
      <w:r>
        <w:rPr>
          <w:rFonts w:hint="eastAsia"/>
          <w:color w:val="000000" w:themeColor="text1"/>
          <w14:textFill>
            <w14:solidFill>
              <w14:schemeClr w14:val="tx1"/>
            </w14:solidFill>
          </w14:textFill>
        </w:rPr>
        <w:t>招标文件</w:t>
      </w:r>
      <w:bookmarkEnd w:id="129"/>
      <w:bookmarkEnd w:id="131"/>
      <w:bookmarkEnd w:id="132"/>
    </w:p>
    <w:p w14:paraId="5FEA2EE9">
      <w:pPr>
        <w:pStyle w:val="6"/>
        <w:numPr>
          <w:ilvl w:val="0"/>
          <w:numId w:val="12"/>
        </w:numPr>
        <w:spacing w:before="0" w:after="0"/>
        <w:ind w:left="0"/>
        <w:rPr>
          <w:rFonts w:hint="eastAsia"/>
          <w:color w:val="000000" w:themeColor="text1"/>
          <w14:textFill>
            <w14:solidFill>
              <w14:schemeClr w14:val="tx1"/>
            </w14:solidFill>
          </w14:textFill>
        </w:rPr>
      </w:pPr>
      <w:bookmarkStart w:id="133" w:name="_Toc140132768"/>
      <w:bookmarkStart w:id="134" w:name="_Toc32305"/>
      <w:bookmarkStart w:id="135" w:name="_Toc31286"/>
      <w:r>
        <w:rPr>
          <w:rFonts w:hint="eastAsia"/>
          <w:color w:val="000000" w:themeColor="text1"/>
          <w14:textFill>
            <w14:solidFill>
              <w14:schemeClr w14:val="tx1"/>
            </w14:solidFill>
          </w14:textFill>
        </w:rPr>
        <w:t>招标文件的组成</w:t>
      </w:r>
      <w:bookmarkEnd w:id="133"/>
      <w:bookmarkEnd w:id="134"/>
      <w:bookmarkEnd w:id="135"/>
    </w:p>
    <w:p w14:paraId="3FA635BF">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12</w:t>
      </w:r>
      <w:r>
        <w:rPr>
          <w:rFonts w:hint="eastAsia" w:cs="仿宋_GB2312"/>
          <w:color w:val="000000" w:themeColor="text1"/>
          <w:szCs w:val="24"/>
          <w14:textFill>
            <w14:solidFill>
              <w14:schemeClr w14:val="tx1"/>
            </w14:solidFill>
          </w14:textFill>
        </w:rPr>
        <w:t>.1本招标文件包括下列文件及根据本章第9款、第</w:t>
      </w:r>
      <w:r>
        <w:rPr>
          <w:rFonts w:cs="仿宋_GB2312"/>
          <w:color w:val="000000" w:themeColor="text1"/>
          <w:szCs w:val="24"/>
          <w14:textFill>
            <w14:solidFill>
              <w14:schemeClr w14:val="tx1"/>
            </w14:solidFill>
          </w14:textFill>
        </w:rPr>
        <w:t>13</w:t>
      </w:r>
      <w:r>
        <w:rPr>
          <w:rFonts w:hint="eastAsia" w:cs="仿宋_GB2312"/>
          <w:color w:val="000000" w:themeColor="text1"/>
          <w:szCs w:val="24"/>
          <w14:textFill>
            <w14:solidFill>
              <w14:schemeClr w14:val="tx1"/>
            </w14:solidFill>
          </w14:textFill>
        </w:rPr>
        <w:t>款对招标文件所作的澄清或者修改。</w:t>
      </w:r>
    </w:p>
    <w:p w14:paraId="4A1ABAA9">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第一章 投标邀请</w:t>
      </w:r>
    </w:p>
    <w:p w14:paraId="2AC1F3D5">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第二章 投标人须知</w:t>
      </w:r>
    </w:p>
    <w:p w14:paraId="64BF9C5F">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第三章 采购需求</w:t>
      </w:r>
    </w:p>
    <w:p w14:paraId="371576EE">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第四章 资格审查方法及标准</w:t>
      </w:r>
    </w:p>
    <w:p w14:paraId="0432BCCD">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第五章 评标办法及标准</w:t>
      </w:r>
    </w:p>
    <w:p w14:paraId="011BA15B">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第六章 合同草案</w:t>
      </w:r>
    </w:p>
    <w:p w14:paraId="73E48750">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第七章 投标文件的格式</w:t>
      </w:r>
    </w:p>
    <w:p w14:paraId="1B913ECC">
      <w:pPr>
        <w:pStyle w:val="6"/>
        <w:numPr>
          <w:ilvl w:val="0"/>
          <w:numId w:val="12"/>
        </w:numPr>
        <w:spacing w:before="0" w:after="0"/>
        <w:ind w:left="0"/>
        <w:rPr>
          <w:rFonts w:hint="eastAsia"/>
          <w:color w:val="000000" w:themeColor="text1"/>
          <w14:textFill>
            <w14:solidFill>
              <w14:schemeClr w14:val="tx1"/>
            </w14:solidFill>
          </w14:textFill>
        </w:rPr>
      </w:pPr>
      <w:bookmarkStart w:id="136" w:name="_Toc22686"/>
      <w:bookmarkStart w:id="137" w:name="_Toc140132769"/>
      <w:bookmarkStart w:id="138" w:name="_Toc24222"/>
      <w:r>
        <w:rPr>
          <w:rFonts w:hint="eastAsia"/>
          <w:color w:val="000000" w:themeColor="text1"/>
          <w14:textFill>
            <w14:solidFill>
              <w14:schemeClr w14:val="tx1"/>
            </w14:solidFill>
          </w14:textFill>
        </w:rPr>
        <w:t>招标文件的询问、澄清或者修改</w:t>
      </w:r>
      <w:bookmarkEnd w:id="136"/>
      <w:bookmarkEnd w:id="137"/>
      <w:bookmarkEnd w:id="138"/>
    </w:p>
    <w:p w14:paraId="413F6617">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13</w:t>
      </w:r>
      <w:r>
        <w:rPr>
          <w:rFonts w:hint="eastAsia" w:cs="仿宋_GB2312"/>
          <w:color w:val="000000" w:themeColor="text1"/>
          <w:szCs w:val="24"/>
          <w14:textFill>
            <w14:solidFill>
              <w14:schemeClr w14:val="tx1"/>
            </w14:solidFill>
          </w14:textFill>
        </w:rPr>
        <w:t>.</w:t>
      </w:r>
      <w:r>
        <w:rPr>
          <w:rFonts w:cs="仿宋_GB2312"/>
          <w:color w:val="000000" w:themeColor="text1"/>
          <w:szCs w:val="24"/>
          <w14:textFill>
            <w14:solidFill>
              <w14:schemeClr w14:val="tx1"/>
            </w14:solidFill>
          </w14:textFill>
        </w:rPr>
        <w:t>1</w:t>
      </w:r>
      <w:r>
        <w:rPr>
          <w:rFonts w:hint="eastAsia" w:cs="仿宋_GB2312"/>
          <w:color w:val="000000" w:themeColor="text1"/>
          <w:szCs w:val="24"/>
          <w14:textFill>
            <w14:solidFill>
              <w14:schemeClr w14:val="tx1"/>
            </w14:solidFill>
          </w14:textFill>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5DE67ED7">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13</w:t>
      </w:r>
      <w:r>
        <w:rPr>
          <w:rFonts w:hint="eastAsia" w:cs="仿宋_GB2312"/>
          <w:color w:val="000000" w:themeColor="text1"/>
          <w:szCs w:val="24"/>
          <w14:textFill>
            <w14:solidFill>
              <w14:schemeClr w14:val="tx1"/>
            </w14:solidFill>
          </w14:textFill>
        </w:rPr>
        <w:t>.2 采购人或者采购代理机构可以对已发出的招标文件进行必要的澄清或者修改。</w:t>
      </w:r>
      <w:r>
        <w:rPr>
          <w:rFonts w:hint="eastAsia"/>
          <w:color w:val="000000" w:themeColor="text1"/>
          <w14:textFill>
            <w14:solidFill>
              <w14:schemeClr w14:val="tx1"/>
            </w14:solidFill>
          </w14:textFill>
        </w:rPr>
        <w:t>澄清或修改的内容为招标文件的组成部分，并对所有获取招标文件的潜在投标人具有约束力。</w:t>
      </w:r>
    </w:p>
    <w:p w14:paraId="7B674611">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13</w:t>
      </w:r>
      <w:r>
        <w:rPr>
          <w:rFonts w:hint="eastAsia" w:cs="仿宋_GB2312"/>
          <w:color w:val="000000" w:themeColor="text1"/>
          <w:szCs w:val="24"/>
          <w14:textFill>
            <w14:solidFill>
              <w14:schemeClr w14:val="tx1"/>
            </w14:solidFill>
          </w14:textFill>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7AF9157">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 xml:space="preserve">4 </w:t>
      </w:r>
      <w:r>
        <w:rPr>
          <w:rFonts w:hint="eastAsia" w:cs="仿宋_GB2312"/>
          <w:color w:val="000000" w:themeColor="text1"/>
          <w:szCs w:val="24"/>
          <w14:textFill>
            <w14:solidFill>
              <w14:schemeClr w14:val="tx1"/>
            </w14:solidFill>
          </w14:textFill>
        </w:rPr>
        <w:t>本“投标人须知”所称“</w:t>
      </w:r>
      <w:r>
        <w:rPr>
          <w:rFonts w:hint="eastAsia"/>
          <w:color w:val="000000" w:themeColor="text1"/>
          <w14:textFill>
            <w14:solidFill>
              <w14:schemeClr w14:val="tx1"/>
            </w14:solidFill>
          </w14:textFill>
        </w:rPr>
        <w:t>书面形式</w:t>
      </w:r>
      <w:r>
        <w:rPr>
          <w:rFonts w:hint="eastAsia" w:cs="仿宋_GB2312"/>
          <w:color w:val="000000" w:themeColor="text1"/>
          <w:szCs w:val="24"/>
          <w14:textFill>
            <w14:solidFill>
              <w14:schemeClr w14:val="tx1"/>
            </w14:solidFill>
          </w14:textFill>
        </w:rPr>
        <w:t>”</w:t>
      </w:r>
      <w:r>
        <w:rPr>
          <w:rFonts w:hint="eastAsia"/>
          <w:color w:val="000000" w:themeColor="text1"/>
          <w14:textFill>
            <w14:solidFill>
              <w14:schemeClr w14:val="tx1"/>
            </w14:solidFill>
          </w14:textFill>
        </w:rPr>
        <w:t>包括系统消息、湖北省政府采购网、掇刀区政府采购电子交易平台中发布的公告。</w:t>
      </w:r>
    </w:p>
    <w:p w14:paraId="7B59785A">
      <w:pPr>
        <w:pStyle w:val="5"/>
        <w:numPr>
          <w:ilvl w:val="0"/>
          <w:numId w:val="11"/>
        </w:numPr>
        <w:spacing w:before="0" w:after="0"/>
        <w:ind w:left="0"/>
        <w:rPr>
          <w:rFonts w:hint="eastAsia"/>
          <w:color w:val="000000" w:themeColor="text1"/>
          <w14:textFill>
            <w14:solidFill>
              <w14:schemeClr w14:val="tx1"/>
            </w14:solidFill>
          </w14:textFill>
        </w:rPr>
      </w:pPr>
      <w:bookmarkStart w:id="139" w:name="_Toc1463"/>
      <w:bookmarkStart w:id="140" w:name="_Toc155185872"/>
      <w:bookmarkStart w:id="141" w:name="_Toc8796"/>
      <w:r>
        <w:rPr>
          <w:rFonts w:hint="eastAsia"/>
          <w:color w:val="000000" w:themeColor="text1"/>
          <w14:textFill>
            <w14:solidFill>
              <w14:schemeClr w14:val="tx1"/>
            </w14:solidFill>
          </w14:textFill>
        </w:rPr>
        <w:t>投标文件</w:t>
      </w:r>
      <w:bookmarkEnd w:id="139"/>
      <w:bookmarkEnd w:id="140"/>
      <w:bookmarkEnd w:id="141"/>
    </w:p>
    <w:p w14:paraId="2FE01EEE">
      <w:pPr>
        <w:pStyle w:val="6"/>
        <w:numPr>
          <w:ilvl w:val="0"/>
          <w:numId w:val="12"/>
        </w:numPr>
        <w:spacing w:before="0" w:after="0"/>
        <w:ind w:left="0"/>
        <w:rPr>
          <w:rFonts w:hint="eastAsia"/>
          <w:color w:val="000000" w:themeColor="text1"/>
          <w14:textFill>
            <w14:solidFill>
              <w14:schemeClr w14:val="tx1"/>
            </w14:solidFill>
          </w14:textFill>
        </w:rPr>
      </w:pPr>
      <w:bookmarkStart w:id="142" w:name="_Toc26876"/>
      <w:bookmarkStart w:id="143" w:name="_Toc13491"/>
      <w:r>
        <w:rPr>
          <w:rFonts w:hint="eastAsia"/>
          <w:color w:val="000000" w:themeColor="text1"/>
          <w14:textFill>
            <w14:solidFill>
              <w14:schemeClr w14:val="tx1"/>
            </w14:solidFill>
          </w14:textFill>
        </w:rPr>
        <w:t>投标文件的组成</w:t>
      </w:r>
      <w:bookmarkEnd w:id="142"/>
      <w:bookmarkEnd w:id="143"/>
    </w:p>
    <w:p w14:paraId="3B028C37">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一、投标函及报价文件</w:t>
      </w:r>
    </w:p>
    <w:p w14:paraId="4615677D">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（一）投标函</w:t>
      </w:r>
    </w:p>
    <w:p w14:paraId="078F069C">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（二）开标一览表</w:t>
      </w:r>
    </w:p>
    <w:p w14:paraId="37A032DF">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（三）分项报价表</w:t>
      </w:r>
    </w:p>
    <w:p w14:paraId="75B3C520">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（四）法定代表人（负责人）身份证明</w:t>
      </w:r>
    </w:p>
    <w:p w14:paraId="1540E315">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（五）法定代表人（负责人）授权书</w:t>
      </w:r>
    </w:p>
    <w:p w14:paraId="6B6DA868">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二、资格证明文件</w:t>
      </w:r>
    </w:p>
    <w:p w14:paraId="5F40079A">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（一）企业法人营业执照、事业单位法人证书或团体组织法人证书</w:t>
      </w:r>
    </w:p>
    <w:p w14:paraId="45A41E21">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（二）资格条件承诺书</w:t>
      </w:r>
    </w:p>
    <w:p w14:paraId="29D2BE91">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（三）资格证明文件</w:t>
      </w:r>
    </w:p>
    <w:p w14:paraId="263F6EF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（四）联合体协议书【如适用】</w:t>
      </w:r>
    </w:p>
    <w:p w14:paraId="22CB955C">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（五）分包意向协议书【如适用】</w:t>
      </w:r>
    </w:p>
    <w:p w14:paraId="29DA2F60">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（六）其他资格证明文件</w:t>
      </w:r>
    </w:p>
    <w:p w14:paraId="07C2493A">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三、其他响应文件</w:t>
      </w:r>
    </w:p>
    <w:p w14:paraId="08C578B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（一）商务部分</w:t>
      </w:r>
    </w:p>
    <w:p w14:paraId="077A2710">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1.投标人基本情况表</w:t>
      </w:r>
    </w:p>
    <w:p w14:paraId="47206DDA">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2.商务响应偏离表</w:t>
      </w:r>
    </w:p>
    <w:p w14:paraId="287CE465">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3.业绩证明文件</w:t>
      </w:r>
    </w:p>
    <w:p w14:paraId="1B78A3CB">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4.拟派项目团队</w:t>
      </w:r>
    </w:p>
    <w:p w14:paraId="49894E49">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5.其它商务文件</w:t>
      </w:r>
    </w:p>
    <w:p w14:paraId="220B4B6E">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（二）技术部分</w:t>
      </w:r>
    </w:p>
    <w:p w14:paraId="03858851">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1.技术响应偏离表</w:t>
      </w:r>
    </w:p>
    <w:p w14:paraId="4D3A85C7">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2.技术方案</w:t>
      </w:r>
    </w:p>
    <w:p w14:paraId="55B0197D">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3.其他技术文件</w:t>
      </w:r>
    </w:p>
    <w:p w14:paraId="536CD4B3">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（三）</w:t>
      </w:r>
      <w:bookmarkStart w:id="144" w:name="_Hlk161562968"/>
      <w:r>
        <w:rPr>
          <w:rFonts w:hint="eastAsia" w:cs="仿宋_GB2312"/>
          <w:color w:val="000000" w:themeColor="text1"/>
          <w:szCs w:val="24"/>
          <w14:textFill>
            <w14:solidFill>
              <w14:schemeClr w14:val="tx1"/>
            </w14:solidFill>
          </w14:textFill>
        </w:rPr>
        <w:t>落实政府采购政策相关证明文件</w:t>
      </w:r>
      <w:bookmarkEnd w:id="144"/>
    </w:p>
    <w:p w14:paraId="027BFCB3">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1.节能环保产品清单及证明材料【如适用】</w:t>
      </w:r>
    </w:p>
    <w:p w14:paraId="712CE8D0">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2.中小企业声明函【如适用】</w:t>
      </w:r>
    </w:p>
    <w:p w14:paraId="65E50B67">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3.监狱企业证明文件【如适用】</w:t>
      </w:r>
    </w:p>
    <w:p w14:paraId="03E69596">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4.残疾人福利性单位声明函【如适用】</w:t>
      </w:r>
    </w:p>
    <w:p w14:paraId="57C28FA4">
      <w:pPr>
        <w:ind w:left="240" w:leftChars="100"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5.投标人认为需要提供的其他资料</w:t>
      </w:r>
    </w:p>
    <w:p w14:paraId="509A52FE">
      <w:pPr>
        <w:pStyle w:val="6"/>
        <w:numPr>
          <w:ilvl w:val="0"/>
          <w:numId w:val="12"/>
        </w:numPr>
        <w:spacing w:before="0" w:after="0"/>
        <w:ind w:left="0"/>
        <w:rPr>
          <w:rFonts w:hint="eastAsia"/>
          <w:color w:val="000000" w:themeColor="text1"/>
          <w14:textFill>
            <w14:solidFill>
              <w14:schemeClr w14:val="tx1"/>
            </w14:solidFill>
          </w14:textFill>
        </w:rPr>
      </w:pPr>
      <w:bookmarkStart w:id="145" w:name="_Toc24692"/>
      <w:bookmarkStart w:id="146" w:name="_Toc5033"/>
      <w:bookmarkStart w:id="147" w:name="_Toc140132772"/>
      <w:r>
        <w:rPr>
          <w:rFonts w:hint="eastAsia"/>
          <w:color w:val="000000" w:themeColor="text1"/>
          <w14:textFill>
            <w14:solidFill>
              <w14:schemeClr w14:val="tx1"/>
            </w14:solidFill>
          </w14:textFill>
        </w:rPr>
        <w:t>投标报价</w:t>
      </w:r>
      <w:bookmarkEnd w:id="145"/>
      <w:bookmarkEnd w:id="146"/>
      <w:bookmarkEnd w:id="147"/>
    </w:p>
    <w:p w14:paraId="01EEE47C">
      <w:pPr>
        <w:ind w:firstLine="480" w:firstLineChars="200"/>
        <w:rPr>
          <w:rFonts w:hint="eastAsia" w:cs="宋体"/>
          <w:snapToGrid w:val="0"/>
          <w:color w:val="000000" w:themeColor="text1"/>
          <w:szCs w:val="24"/>
          <w:lang w:val="zh-CN"/>
          <w14:textFill>
            <w14:solidFill>
              <w14:schemeClr w14:val="tx1"/>
            </w14:solidFill>
          </w14:textFill>
        </w:rPr>
      </w:pPr>
      <w:r>
        <w:rPr>
          <w:rFonts w:cs="宋体"/>
          <w:snapToGrid w:val="0"/>
          <w:color w:val="000000" w:themeColor="text1"/>
          <w:szCs w:val="24"/>
          <w14:textFill>
            <w14:solidFill>
              <w14:schemeClr w14:val="tx1"/>
            </w14:solidFill>
          </w14:textFill>
        </w:rPr>
        <w:t>15</w:t>
      </w:r>
      <w:r>
        <w:rPr>
          <w:rFonts w:hint="eastAsia" w:cs="宋体"/>
          <w:snapToGrid w:val="0"/>
          <w:color w:val="000000" w:themeColor="text1"/>
          <w:szCs w:val="24"/>
          <w14:textFill>
            <w14:solidFill>
              <w14:schemeClr w14:val="tx1"/>
            </w14:solidFill>
          </w14:textFill>
        </w:rPr>
        <w:t xml:space="preserve">.1 </w:t>
      </w:r>
      <w:r>
        <w:rPr>
          <w:rFonts w:hint="eastAsia" w:cs="宋体"/>
          <w:snapToGrid w:val="0"/>
          <w:color w:val="000000" w:themeColor="text1"/>
          <w:szCs w:val="24"/>
          <w:lang w:val="zh-CN"/>
          <w14:textFill>
            <w14:solidFill>
              <w14:schemeClr w14:val="tx1"/>
            </w14:solidFill>
          </w14:textFill>
        </w:rPr>
        <w:t>投标人的报价均应以人民币进行报价。</w:t>
      </w:r>
    </w:p>
    <w:p w14:paraId="44EF3ECD">
      <w:pPr>
        <w:ind w:firstLine="480" w:firstLineChars="200"/>
        <w:rPr>
          <w:rFonts w:hint="eastAsia" w:cs="宋体"/>
          <w:snapToGrid w:val="0"/>
          <w:color w:val="000000" w:themeColor="text1"/>
          <w:szCs w:val="24"/>
          <w14:textFill>
            <w14:solidFill>
              <w14:schemeClr w14:val="tx1"/>
            </w14:solidFill>
          </w14:textFill>
        </w:rPr>
      </w:pPr>
      <w:r>
        <w:rPr>
          <w:rFonts w:cs="宋体"/>
          <w:snapToGrid w:val="0"/>
          <w:color w:val="000000" w:themeColor="text1"/>
          <w:szCs w:val="24"/>
          <w14:textFill>
            <w14:solidFill>
              <w14:schemeClr w14:val="tx1"/>
            </w14:solidFill>
          </w14:textFill>
        </w:rPr>
        <w:t>15</w:t>
      </w:r>
      <w:r>
        <w:rPr>
          <w:rFonts w:hint="eastAsia" w:cs="宋体"/>
          <w:snapToGrid w:val="0"/>
          <w:color w:val="000000" w:themeColor="text1"/>
          <w:szCs w:val="24"/>
          <w14:textFill>
            <w14:solidFill>
              <w14:schemeClr w14:val="tx1"/>
            </w14:solidFill>
          </w14:textFill>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000000" w:themeColor="text1"/>
          <w:szCs w:val="24"/>
          <w14:textFill>
            <w14:solidFill>
              <w14:schemeClr w14:val="tx1"/>
            </w14:solidFill>
          </w14:textFill>
        </w:rPr>
        <w:t>投标无效</w:t>
      </w:r>
      <w:r>
        <w:rPr>
          <w:rFonts w:hint="eastAsia" w:cs="宋体"/>
          <w:snapToGrid w:val="0"/>
          <w:color w:val="000000" w:themeColor="text1"/>
          <w:szCs w:val="24"/>
          <w14:textFill>
            <w14:solidFill>
              <w14:schemeClr w14:val="tx1"/>
            </w14:solidFill>
          </w14:textFill>
        </w:rPr>
        <w:t>。</w:t>
      </w:r>
    </w:p>
    <w:p w14:paraId="6D00CD86">
      <w:pPr>
        <w:ind w:firstLine="480" w:firstLineChars="200"/>
        <w:rPr>
          <w:rFonts w:hint="eastAsia" w:cs="宋体"/>
          <w:snapToGrid w:val="0"/>
          <w:color w:val="000000" w:themeColor="text1"/>
          <w:szCs w:val="24"/>
          <w:lang w:val="zh-CN"/>
          <w14:textFill>
            <w14:solidFill>
              <w14:schemeClr w14:val="tx1"/>
            </w14:solidFill>
          </w14:textFill>
        </w:rPr>
      </w:pPr>
      <w:r>
        <w:rPr>
          <w:rFonts w:cs="宋体"/>
          <w:snapToGrid w:val="0"/>
          <w:color w:val="000000" w:themeColor="text1"/>
          <w:szCs w:val="24"/>
          <w14:textFill>
            <w14:solidFill>
              <w14:schemeClr w14:val="tx1"/>
            </w14:solidFill>
          </w14:textFill>
        </w:rPr>
        <w:t>15</w:t>
      </w:r>
      <w:r>
        <w:rPr>
          <w:rFonts w:hint="eastAsia" w:cs="宋体"/>
          <w:snapToGrid w:val="0"/>
          <w:color w:val="000000" w:themeColor="text1"/>
          <w:szCs w:val="24"/>
          <w14:textFill>
            <w14:solidFill>
              <w14:schemeClr w14:val="tx1"/>
            </w14:solidFill>
          </w14:textFill>
        </w:rPr>
        <w:t xml:space="preserve">.3 </w:t>
      </w:r>
      <w:r>
        <w:rPr>
          <w:rFonts w:hint="eastAsia" w:cs="宋体"/>
          <w:snapToGrid w:val="0"/>
          <w:color w:val="000000" w:themeColor="text1"/>
          <w:szCs w:val="24"/>
          <w:lang w:val="zh-CN"/>
          <w14:textFill>
            <w14:solidFill>
              <w14:schemeClr w14:val="tx1"/>
            </w14:solidFill>
          </w14:textFill>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0A52986C">
      <w:pPr>
        <w:ind w:firstLine="480" w:firstLineChars="200"/>
        <w:rPr>
          <w:rFonts w:hint="eastAsia" w:cs="宋体"/>
          <w:snapToGrid w:val="0"/>
          <w:color w:val="000000" w:themeColor="text1"/>
          <w:szCs w:val="24"/>
          <w14:textFill>
            <w14:solidFill>
              <w14:schemeClr w14:val="tx1"/>
            </w14:solidFill>
          </w14:textFill>
        </w:rPr>
      </w:pPr>
      <w:r>
        <w:rPr>
          <w:rFonts w:cs="宋体"/>
          <w:snapToGrid w:val="0"/>
          <w:color w:val="000000" w:themeColor="text1"/>
          <w:szCs w:val="24"/>
          <w14:textFill>
            <w14:solidFill>
              <w14:schemeClr w14:val="tx1"/>
            </w14:solidFill>
          </w14:textFill>
        </w:rPr>
        <w:t>15</w:t>
      </w:r>
      <w:r>
        <w:rPr>
          <w:rFonts w:hint="eastAsia" w:cs="宋体"/>
          <w:snapToGrid w:val="0"/>
          <w:color w:val="000000" w:themeColor="text1"/>
          <w:szCs w:val="24"/>
          <w14:textFill>
            <w14:solidFill>
              <w14:schemeClr w14:val="tx1"/>
            </w14:solidFill>
          </w14:textFill>
        </w:rPr>
        <w:t>.4 投标人在投标文件中注明免费的项目将视为包含在投标报价中。</w:t>
      </w:r>
    </w:p>
    <w:p w14:paraId="4AE99199">
      <w:pPr>
        <w:ind w:firstLine="480" w:firstLineChars="200"/>
        <w:rPr>
          <w:rFonts w:hint="eastAsia" w:cs="宋体"/>
          <w:snapToGrid w:val="0"/>
          <w:color w:val="000000" w:themeColor="text1"/>
          <w:szCs w:val="24"/>
          <w14:textFill>
            <w14:solidFill>
              <w14:schemeClr w14:val="tx1"/>
            </w14:solidFill>
          </w14:textFill>
        </w:rPr>
      </w:pPr>
      <w:r>
        <w:rPr>
          <w:rFonts w:cs="宋体"/>
          <w:snapToGrid w:val="0"/>
          <w:color w:val="000000" w:themeColor="text1"/>
          <w:szCs w:val="24"/>
          <w14:textFill>
            <w14:solidFill>
              <w14:schemeClr w14:val="tx1"/>
            </w14:solidFill>
          </w14:textFill>
        </w:rPr>
        <w:t>15</w:t>
      </w:r>
      <w:r>
        <w:rPr>
          <w:rFonts w:hint="eastAsia" w:cs="宋体"/>
          <w:snapToGrid w:val="0"/>
          <w:color w:val="000000" w:themeColor="text1"/>
          <w:szCs w:val="24"/>
          <w14:textFill>
            <w14:solidFill>
              <w14:schemeClr w14:val="tx1"/>
            </w14:solidFill>
          </w14:textFill>
        </w:rPr>
        <w:t>.5 每一种采购内容只允许有一个报价，否则其</w:t>
      </w:r>
      <w:r>
        <w:rPr>
          <w:rFonts w:hint="eastAsia" w:cs="宋体"/>
          <w:b/>
          <w:bCs/>
          <w:snapToGrid w:val="0"/>
          <w:color w:val="000000" w:themeColor="text1"/>
          <w:szCs w:val="24"/>
          <w14:textFill>
            <w14:solidFill>
              <w14:schemeClr w14:val="tx1"/>
            </w14:solidFill>
          </w14:textFill>
        </w:rPr>
        <w:t>投标无效</w:t>
      </w:r>
      <w:r>
        <w:rPr>
          <w:rFonts w:hint="eastAsia" w:cs="宋体"/>
          <w:snapToGrid w:val="0"/>
          <w:color w:val="000000" w:themeColor="text1"/>
          <w:szCs w:val="24"/>
          <w14:textFill>
            <w14:solidFill>
              <w14:schemeClr w14:val="tx1"/>
            </w14:solidFill>
          </w14:textFill>
        </w:rPr>
        <w:t>。</w:t>
      </w:r>
    </w:p>
    <w:p w14:paraId="77EC691A">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15.</w:t>
      </w:r>
      <w:r>
        <w:rPr>
          <w:rFonts w:hint="eastAsia" w:cs="仿宋_GB2312"/>
          <w:color w:val="000000" w:themeColor="text1"/>
          <w:szCs w:val="24"/>
          <w14:textFill>
            <w14:solidFill>
              <w14:schemeClr w14:val="tx1"/>
            </w14:solidFill>
          </w14:textFill>
        </w:rPr>
        <w:t>6投标报价不得超过“</w:t>
      </w:r>
      <w:r>
        <w:rPr>
          <w:rFonts w:cs="仿宋_GB2312"/>
          <w:color w:val="000000" w:themeColor="text1"/>
          <w:szCs w:val="24"/>
          <w14:textFill>
            <w14:solidFill>
              <w14:schemeClr w14:val="tx1"/>
            </w14:solidFill>
          </w14:textFill>
        </w:rPr>
        <w:t>投标人须知前附表</w:t>
      </w:r>
      <w:r>
        <w:rPr>
          <w:rFonts w:hint="eastAsia" w:cs="仿宋_GB2312"/>
          <w:color w:val="000000" w:themeColor="text1"/>
          <w:szCs w:val="24"/>
          <w14:textFill>
            <w14:solidFill>
              <w14:schemeClr w14:val="tx1"/>
            </w14:solidFill>
          </w14:textFill>
        </w:rPr>
        <w:t>”中规定的最高投标限价，否则</w:t>
      </w:r>
      <w:r>
        <w:rPr>
          <w:rFonts w:cs="仿宋_GB2312"/>
          <w:color w:val="000000" w:themeColor="text1"/>
          <w:szCs w:val="24"/>
          <w14:textFill>
            <w14:solidFill>
              <w14:schemeClr w14:val="tx1"/>
            </w14:solidFill>
          </w14:textFill>
        </w:rPr>
        <w:t>评标委员会将否决其投标。</w:t>
      </w:r>
    </w:p>
    <w:p w14:paraId="3EBAC031">
      <w:pPr>
        <w:pStyle w:val="6"/>
        <w:numPr>
          <w:ilvl w:val="0"/>
          <w:numId w:val="12"/>
        </w:numPr>
        <w:spacing w:before="0" w:after="0"/>
        <w:ind w:left="0"/>
        <w:rPr>
          <w:rFonts w:hint="eastAsia"/>
          <w:color w:val="000000" w:themeColor="text1"/>
          <w14:textFill>
            <w14:solidFill>
              <w14:schemeClr w14:val="tx1"/>
            </w14:solidFill>
          </w14:textFill>
        </w:rPr>
      </w:pPr>
      <w:bookmarkStart w:id="148" w:name="_Toc140132773"/>
      <w:bookmarkStart w:id="149" w:name="_Toc18117"/>
      <w:bookmarkStart w:id="150" w:name="_Toc21865"/>
      <w:r>
        <w:rPr>
          <w:rFonts w:hint="eastAsia"/>
          <w:color w:val="000000" w:themeColor="text1"/>
          <w14:textFill>
            <w14:solidFill>
              <w14:schemeClr w14:val="tx1"/>
            </w14:solidFill>
          </w14:textFill>
        </w:rPr>
        <w:t>投标有效期</w:t>
      </w:r>
      <w:bookmarkEnd w:id="148"/>
      <w:bookmarkEnd w:id="149"/>
      <w:bookmarkEnd w:id="150"/>
    </w:p>
    <w:p w14:paraId="77A2A4D6">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16</w:t>
      </w:r>
      <w:r>
        <w:rPr>
          <w:rFonts w:hint="eastAsia" w:cs="仿宋_GB2312"/>
          <w:color w:val="000000" w:themeColor="text1"/>
          <w:szCs w:val="24"/>
          <w14:textFill>
            <w14:solidFill>
              <w14:schemeClr w14:val="tx1"/>
            </w14:solidFill>
          </w14:textFill>
        </w:rPr>
        <w:t xml:space="preserve">.1 </w:t>
      </w:r>
      <w:r>
        <w:rPr>
          <w:rFonts w:ascii="Arial" w:hAnsi="Arial" w:cs="Arial"/>
          <w:color w:val="000000" w:themeColor="text1"/>
          <w:kern w:val="0"/>
          <w:szCs w:val="21"/>
          <w14:textFill>
            <w14:solidFill>
              <w14:schemeClr w14:val="tx1"/>
            </w14:solidFill>
          </w14:textFill>
        </w:rPr>
        <w:t>投标有效期</w:t>
      </w:r>
      <w:r>
        <w:rPr>
          <w:rFonts w:hint="eastAsia" w:cs="仿宋_GB2312"/>
          <w:color w:val="000000" w:themeColor="text1"/>
          <w:szCs w:val="24"/>
          <w14:textFill>
            <w14:solidFill>
              <w14:schemeClr w14:val="tx1"/>
            </w14:solidFill>
          </w14:textFill>
        </w:rPr>
        <w:t>见“</w:t>
      </w:r>
      <w:r>
        <w:rPr>
          <w:rFonts w:cs="仿宋_GB2312"/>
          <w:color w:val="000000" w:themeColor="text1"/>
          <w:szCs w:val="24"/>
          <w14:textFill>
            <w14:solidFill>
              <w14:schemeClr w14:val="tx1"/>
            </w14:solidFill>
          </w14:textFill>
        </w:rPr>
        <w:t>投标人须知前附表</w:t>
      </w:r>
      <w:r>
        <w:rPr>
          <w:rFonts w:hint="eastAsia" w:cs="仿宋_GB2312"/>
          <w:color w:val="000000" w:themeColor="text1"/>
          <w:szCs w:val="24"/>
          <w14:textFill>
            <w14:solidFill>
              <w14:schemeClr w14:val="tx1"/>
            </w14:solidFill>
          </w14:textFill>
        </w:rPr>
        <w:t>”，投标人承诺的投标有效期不足的，其投标文件将被视为</w:t>
      </w:r>
      <w:r>
        <w:rPr>
          <w:rFonts w:hint="eastAsia" w:cs="仿宋_GB2312"/>
          <w:b/>
          <w:bCs/>
          <w:color w:val="000000" w:themeColor="text1"/>
          <w:szCs w:val="24"/>
          <w14:textFill>
            <w14:solidFill>
              <w14:schemeClr w14:val="tx1"/>
            </w14:solidFill>
          </w14:textFill>
        </w:rPr>
        <w:t>投标无效</w:t>
      </w:r>
      <w:r>
        <w:rPr>
          <w:rFonts w:hint="eastAsia" w:cs="仿宋_GB2312"/>
          <w:color w:val="000000" w:themeColor="text1"/>
          <w:szCs w:val="24"/>
          <w14:textFill>
            <w14:solidFill>
              <w14:schemeClr w14:val="tx1"/>
            </w14:solidFill>
          </w14:textFill>
        </w:rPr>
        <w:t>。</w:t>
      </w:r>
    </w:p>
    <w:p w14:paraId="753FF76F">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16.2特殊情况下，在原</w:t>
      </w:r>
      <w:r>
        <w:rPr>
          <w:rFonts w:hint="eastAsia" w:cs="仿宋_GB2312"/>
          <w:color w:val="000000" w:themeColor="text1"/>
          <w:szCs w:val="24"/>
          <w14:textFill>
            <w14:solidFill>
              <w14:schemeClr w14:val="tx1"/>
            </w14:solidFill>
          </w14:textFill>
        </w:rPr>
        <w:t>投标文件</w:t>
      </w:r>
      <w:r>
        <w:rPr>
          <w:rFonts w:cs="仿宋_GB2312"/>
          <w:color w:val="000000" w:themeColor="text1"/>
          <w:szCs w:val="24"/>
          <w14:textFill>
            <w14:solidFill>
              <w14:schemeClr w14:val="tx1"/>
            </w14:solidFill>
          </w14:textFill>
        </w:rPr>
        <w:t>有效期截止之前，采购代理机构或采购人可要求</w:t>
      </w:r>
      <w:r>
        <w:rPr>
          <w:rFonts w:hint="eastAsia" w:cs="仿宋_GB2312"/>
          <w:color w:val="000000" w:themeColor="text1"/>
          <w:szCs w:val="24"/>
          <w14:textFill>
            <w14:solidFill>
              <w14:schemeClr w14:val="tx1"/>
            </w14:solidFill>
          </w14:textFill>
        </w:rPr>
        <w:t>投标人</w:t>
      </w:r>
      <w:r>
        <w:rPr>
          <w:rFonts w:cs="仿宋_GB2312"/>
          <w:color w:val="000000" w:themeColor="text1"/>
          <w:szCs w:val="24"/>
          <w14:textFill>
            <w14:solidFill>
              <w14:schemeClr w14:val="tx1"/>
            </w14:solidFill>
          </w14:textFill>
        </w:rPr>
        <w:t>延长</w:t>
      </w:r>
      <w:r>
        <w:rPr>
          <w:rFonts w:hint="eastAsia" w:cs="仿宋_GB2312"/>
          <w:color w:val="000000" w:themeColor="text1"/>
          <w:szCs w:val="24"/>
          <w14:textFill>
            <w14:solidFill>
              <w14:schemeClr w14:val="tx1"/>
            </w14:solidFill>
          </w14:textFill>
        </w:rPr>
        <w:t>投标</w:t>
      </w:r>
      <w:r>
        <w:rPr>
          <w:rFonts w:cs="仿宋_GB2312"/>
          <w:color w:val="000000" w:themeColor="text1"/>
          <w:szCs w:val="24"/>
          <w14:textFill>
            <w14:solidFill>
              <w14:schemeClr w14:val="tx1"/>
            </w14:solidFill>
          </w14:textFill>
        </w:rPr>
        <w:t>有效期。需要延长</w:t>
      </w:r>
      <w:r>
        <w:rPr>
          <w:rFonts w:hint="eastAsia" w:cs="仿宋_GB2312"/>
          <w:color w:val="000000" w:themeColor="text1"/>
          <w:szCs w:val="24"/>
          <w14:textFill>
            <w14:solidFill>
              <w14:schemeClr w14:val="tx1"/>
            </w14:solidFill>
          </w14:textFill>
        </w:rPr>
        <w:t>投标</w:t>
      </w:r>
      <w:r>
        <w:rPr>
          <w:rFonts w:cs="仿宋_GB2312"/>
          <w:color w:val="000000" w:themeColor="text1"/>
          <w:szCs w:val="24"/>
          <w14:textFill>
            <w14:solidFill>
              <w14:schemeClr w14:val="tx1"/>
            </w14:solidFill>
          </w14:textFill>
        </w:rPr>
        <w:t>有效期时，采购代理机构或采购人将以书面形式通知所有</w:t>
      </w:r>
      <w:r>
        <w:rPr>
          <w:rFonts w:hint="eastAsia" w:cs="仿宋_GB2312"/>
          <w:color w:val="000000" w:themeColor="text1"/>
          <w:szCs w:val="24"/>
          <w14:textFill>
            <w14:solidFill>
              <w14:schemeClr w14:val="tx1"/>
            </w14:solidFill>
          </w14:textFill>
        </w:rPr>
        <w:t>投标人</w:t>
      </w:r>
      <w:r>
        <w:rPr>
          <w:rFonts w:cs="仿宋_GB2312"/>
          <w:color w:val="000000" w:themeColor="text1"/>
          <w:szCs w:val="24"/>
          <w14:textFill>
            <w14:solidFill>
              <w14:schemeClr w14:val="tx1"/>
            </w14:solidFill>
          </w14:textFill>
        </w:rPr>
        <w:t>，</w:t>
      </w:r>
      <w:r>
        <w:rPr>
          <w:rFonts w:hint="eastAsia" w:cs="仿宋_GB2312"/>
          <w:color w:val="000000" w:themeColor="text1"/>
          <w:szCs w:val="24"/>
          <w14:textFill>
            <w14:solidFill>
              <w14:schemeClr w14:val="tx1"/>
            </w14:solidFill>
          </w14:textFill>
        </w:rPr>
        <w:t>投标人</w:t>
      </w:r>
      <w:r>
        <w:rPr>
          <w:rFonts w:cs="仿宋_GB2312"/>
          <w:color w:val="000000" w:themeColor="text1"/>
          <w:szCs w:val="24"/>
          <w14:textFill>
            <w14:solidFill>
              <w14:schemeClr w14:val="tx1"/>
            </w14:solidFill>
          </w14:textFill>
        </w:rPr>
        <w:t>应以书面形式答复是否同意延长</w:t>
      </w:r>
      <w:r>
        <w:rPr>
          <w:rFonts w:hint="eastAsia" w:cs="仿宋_GB2312"/>
          <w:color w:val="000000" w:themeColor="text1"/>
          <w:szCs w:val="24"/>
          <w14:textFill>
            <w14:solidFill>
              <w14:schemeClr w14:val="tx1"/>
            </w14:solidFill>
          </w14:textFill>
        </w:rPr>
        <w:t>投标</w:t>
      </w:r>
      <w:r>
        <w:rPr>
          <w:rFonts w:cs="仿宋_GB2312"/>
          <w:color w:val="000000" w:themeColor="text1"/>
          <w:szCs w:val="24"/>
          <w14:textFill>
            <w14:solidFill>
              <w14:schemeClr w14:val="tx1"/>
            </w14:solidFill>
          </w14:textFill>
        </w:rPr>
        <w:t>有效期。</w:t>
      </w:r>
    </w:p>
    <w:p w14:paraId="752A9A2E">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16.3</w:t>
      </w:r>
      <w:r>
        <w:rPr>
          <w:rFonts w:hint="eastAsia" w:cs="仿宋_GB2312"/>
          <w:color w:val="000000" w:themeColor="text1"/>
          <w:szCs w:val="24"/>
          <w14:textFill>
            <w14:solidFill>
              <w14:schemeClr w14:val="tx1"/>
            </w14:solidFill>
          </w14:textFill>
        </w:rPr>
        <w:t>投标人</w:t>
      </w:r>
      <w:r>
        <w:rPr>
          <w:rFonts w:cs="仿宋_GB2312"/>
          <w:color w:val="000000" w:themeColor="text1"/>
          <w:szCs w:val="24"/>
          <w14:textFill>
            <w14:solidFill>
              <w14:schemeClr w14:val="tx1"/>
            </w14:solidFill>
          </w14:textFill>
        </w:rPr>
        <w:t>同意延长的，不得要求或被允许修改或撤销其</w:t>
      </w:r>
      <w:r>
        <w:rPr>
          <w:rFonts w:hint="eastAsia" w:cs="仿宋_GB2312"/>
          <w:color w:val="000000" w:themeColor="text1"/>
          <w:szCs w:val="24"/>
          <w14:textFill>
            <w14:solidFill>
              <w14:schemeClr w14:val="tx1"/>
            </w14:solidFill>
          </w14:textFill>
        </w:rPr>
        <w:t>投标文件</w:t>
      </w:r>
      <w:r>
        <w:rPr>
          <w:rFonts w:cs="仿宋_GB2312"/>
          <w:color w:val="000000" w:themeColor="text1"/>
          <w:szCs w:val="24"/>
          <w14:textFill>
            <w14:solidFill>
              <w14:schemeClr w14:val="tx1"/>
            </w14:solidFill>
          </w14:textFill>
        </w:rPr>
        <w:t>；供应商拒绝延长的，其</w:t>
      </w:r>
      <w:r>
        <w:rPr>
          <w:rFonts w:hint="eastAsia" w:cs="仿宋_GB2312"/>
          <w:color w:val="000000" w:themeColor="text1"/>
          <w:szCs w:val="24"/>
          <w14:textFill>
            <w14:solidFill>
              <w14:schemeClr w14:val="tx1"/>
            </w14:solidFill>
          </w14:textFill>
        </w:rPr>
        <w:t>投标文件</w:t>
      </w:r>
      <w:r>
        <w:rPr>
          <w:rFonts w:cs="仿宋_GB2312"/>
          <w:color w:val="000000" w:themeColor="text1"/>
          <w:szCs w:val="24"/>
          <w14:textFill>
            <w14:solidFill>
              <w14:schemeClr w14:val="tx1"/>
            </w14:solidFill>
          </w14:textFill>
        </w:rPr>
        <w:t>在原</w:t>
      </w:r>
      <w:r>
        <w:rPr>
          <w:rFonts w:hint="eastAsia" w:cs="仿宋_GB2312"/>
          <w:color w:val="000000" w:themeColor="text1"/>
          <w:szCs w:val="24"/>
          <w14:textFill>
            <w14:solidFill>
              <w14:schemeClr w14:val="tx1"/>
            </w14:solidFill>
          </w14:textFill>
        </w:rPr>
        <w:t>投标</w:t>
      </w:r>
      <w:r>
        <w:rPr>
          <w:rFonts w:cs="仿宋_GB2312"/>
          <w:color w:val="000000" w:themeColor="text1"/>
          <w:szCs w:val="24"/>
          <w14:textFill>
            <w14:solidFill>
              <w14:schemeClr w14:val="tx1"/>
            </w14:solidFill>
          </w14:textFill>
        </w:rPr>
        <w:t>有效期满后将不再有效。</w:t>
      </w:r>
    </w:p>
    <w:p w14:paraId="633B2FCD">
      <w:pPr>
        <w:pStyle w:val="6"/>
        <w:numPr>
          <w:ilvl w:val="0"/>
          <w:numId w:val="12"/>
        </w:numPr>
        <w:spacing w:before="0" w:after="0"/>
        <w:ind w:left="0"/>
        <w:rPr>
          <w:rFonts w:hint="eastAsia"/>
          <w:color w:val="000000" w:themeColor="text1"/>
          <w14:textFill>
            <w14:solidFill>
              <w14:schemeClr w14:val="tx1"/>
            </w14:solidFill>
          </w14:textFill>
        </w:rPr>
      </w:pPr>
      <w:bookmarkStart w:id="151" w:name="_Toc26335"/>
      <w:bookmarkStart w:id="152" w:name="_Toc18345"/>
      <w:bookmarkStart w:id="153" w:name="_Toc140132774"/>
      <w:r>
        <w:rPr>
          <w:rFonts w:hint="eastAsia"/>
          <w:color w:val="000000" w:themeColor="text1"/>
          <w14:textFill>
            <w14:solidFill>
              <w14:schemeClr w14:val="tx1"/>
            </w14:solidFill>
          </w14:textFill>
        </w:rPr>
        <w:t>投标文件的编制</w:t>
      </w:r>
      <w:bookmarkEnd w:id="151"/>
      <w:bookmarkEnd w:id="152"/>
      <w:bookmarkEnd w:id="153"/>
    </w:p>
    <w:p w14:paraId="31BA2A47">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17</w:t>
      </w:r>
      <w:r>
        <w:rPr>
          <w:rFonts w:hint="eastAsia" w:cs="仿宋_GB2312"/>
          <w:color w:val="000000" w:themeColor="text1"/>
          <w:szCs w:val="24"/>
          <w14:textFill>
            <w14:solidFill>
              <w14:schemeClr w14:val="tx1"/>
            </w14:solidFill>
          </w14:textFill>
        </w:rPr>
        <w:t>.1投标文件应在供应商客户端中进行编制，在投标文件中要求加盖印章的，除有特殊说明之外，一律使用电子签章签署。</w:t>
      </w:r>
    </w:p>
    <w:p w14:paraId="13947A14">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17</w:t>
      </w:r>
      <w:r>
        <w:rPr>
          <w:rFonts w:hint="eastAsia"/>
          <w:color w:val="000000" w:themeColor="text1"/>
          <w14:textFill>
            <w14:solidFill>
              <w14:schemeClr w14:val="tx1"/>
            </w14:solidFill>
          </w14:textFill>
        </w:rPr>
        <w:t>.</w:t>
      </w:r>
      <w:bookmarkStart w:id="154" w:name="_Hlk143528557"/>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投标人在供应商客户端中按照供应商客户端中的格式要求填写响应内容后，生成投标文件。投标人须按照招标文件的要求使用电子签章对要求加盖印章的部分逐一进行签章。</w:t>
      </w:r>
      <w:bookmarkEnd w:id="154"/>
    </w:p>
    <w:p w14:paraId="6D1FAEB2">
      <w:pPr>
        <w:pStyle w:val="5"/>
        <w:numPr>
          <w:ilvl w:val="0"/>
          <w:numId w:val="11"/>
        </w:numPr>
        <w:spacing w:before="0" w:after="0"/>
        <w:ind w:left="0"/>
        <w:rPr>
          <w:rFonts w:hint="eastAsia"/>
          <w:color w:val="000000" w:themeColor="text1"/>
          <w14:textFill>
            <w14:solidFill>
              <w14:schemeClr w14:val="tx1"/>
            </w14:solidFill>
          </w14:textFill>
        </w:rPr>
      </w:pPr>
      <w:bookmarkStart w:id="155" w:name="_Toc6698"/>
      <w:bookmarkStart w:id="156" w:name="_Toc6081"/>
      <w:bookmarkStart w:id="157" w:name="_Toc155185873"/>
      <w:r>
        <w:rPr>
          <w:rFonts w:hint="eastAsia" w:ascii="等线" w:hAnsi="等线"/>
          <w:color w:val="000000" w:themeColor="text1"/>
          <w14:textFill>
            <w14:solidFill>
              <w14:schemeClr w14:val="tx1"/>
            </w14:solidFill>
          </w14:textFill>
        </w:rPr>
        <w:t>投标</w:t>
      </w:r>
      <w:bookmarkEnd w:id="155"/>
      <w:bookmarkEnd w:id="156"/>
      <w:bookmarkEnd w:id="157"/>
    </w:p>
    <w:p w14:paraId="6F524682">
      <w:pPr>
        <w:pStyle w:val="6"/>
        <w:numPr>
          <w:ilvl w:val="0"/>
          <w:numId w:val="12"/>
        </w:numPr>
        <w:spacing w:before="0" w:after="0"/>
        <w:ind w:left="0"/>
        <w:rPr>
          <w:rFonts w:hint="eastAsia"/>
          <w:color w:val="000000" w:themeColor="text1"/>
          <w14:textFill>
            <w14:solidFill>
              <w14:schemeClr w14:val="tx1"/>
            </w14:solidFill>
          </w14:textFill>
        </w:rPr>
      </w:pPr>
      <w:bookmarkStart w:id="158" w:name="_Toc2783"/>
      <w:bookmarkStart w:id="159" w:name="_Toc24373"/>
      <w:r>
        <w:rPr>
          <w:rFonts w:hint="eastAsia"/>
          <w:color w:val="000000" w:themeColor="text1"/>
          <w14:textFill>
            <w14:solidFill>
              <w14:schemeClr w14:val="tx1"/>
            </w14:solidFill>
          </w14:textFill>
        </w:rPr>
        <w:t>投标文件的加密</w:t>
      </w:r>
      <w:bookmarkEnd w:id="158"/>
      <w:bookmarkEnd w:id="159"/>
    </w:p>
    <w:p w14:paraId="0B8A97E9">
      <w:pPr>
        <w:ind w:firstLine="480" w:firstLineChars="200"/>
        <w:rPr>
          <w:rFonts w:hint="eastAsia" w:cs="仿宋_GB2312"/>
          <w:color w:val="000000" w:themeColor="text1"/>
          <w:szCs w:val="24"/>
          <w:u w:val="single"/>
          <w14:textFill>
            <w14:solidFill>
              <w14:schemeClr w14:val="tx1"/>
            </w14:solidFill>
          </w14:textFill>
        </w:rPr>
      </w:pPr>
      <w:bookmarkStart w:id="160" w:name="_Hlk143531864"/>
      <w:r>
        <w:rPr>
          <w:rFonts w:cs="仿宋_GB2312"/>
          <w:color w:val="000000" w:themeColor="text1"/>
          <w:szCs w:val="24"/>
          <w14:textFill>
            <w14:solidFill>
              <w14:schemeClr w14:val="tx1"/>
            </w14:solidFill>
          </w14:textFill>
        </w:rPr>
        <w:t>18</w:t>
      </w:r>
      <w:r>
        <w:rPr>
          <w:rFonts w:hint="eastAsia" w:cs="仿宋_GB2312"/>
          <w:color w:val="000000" w:themeColor="text1"/>
          <w:szCs w:val="24"/>
          <w14:textFill>
            <w14:solidFill>
              <w14:schemeClr w14:val="tx1"/>
            </w14:solidFill>
          </w14:textFill>
        </w:rPr>
        <w:t>.1投标人在供应商客户端中生成投标文件并完成签章之后，使用CA证书在供应商客户端中对投标文件进行加密。</w:t>
      </w:r>
    </w:p>
    <w:p w14:paraId="0C48E2A1">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18</w:t>
      </w:r>
      <w:r>
        <w:rPr>
          <w:rFonts w:hint="eastAsia" w:cs="仿宋_GB2312"/>
          <w:color w:val="000000" w:themeColor="text1"/>
          <w:szCs w:val="24"/>
          <w14:textFill>
            <w14:solidFill>
              <w14:schemeClr w14:val="tx1"/>
            </w14:solidFill>
          </w14:textFill>
        </w:rPr>
        <w:t>.2投标人应在供应商客户端中对加密的投标文件进行解密验证，以防止投标文件加密异常，在开标时无法解密。</w:t>
      </w:r>
    </w:p>
    <w:p w14:paraId="1F2C5AC7">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18</w:t>
      </w:r>
      <w:r>
        <w:rPr>
          <w:rFonts w:hint="eastAsia" w:cs="仿宋_GB2312"/>
          <w:color w:val="000000" w:themeColor="text1"/>
          <w:szCs w:val="24"/>
          <w14:textFill>
            <w14:solidFill>
              <w14:schemeClr w14:val="tx1"/>
            </w14:solidFill>
          </w14:textFill>
        </w:rPr>
        <w:t>.3 投标人应保证加密投标文件的CA证书有效期在开标时间之前。若CA证书有效期临近开标时间，建议投标人提前办理CA证书续期，以免开标时无法进行解密。</w:t>
      </w:r>
    </w:p>
    <w:bookmarkEnd w:id="160"/>
    <w:p w14:paraId="67F0FF86">
      <w:pPr>
        <w:pStyle w:val="6"/>
        <w:numPr>
          <w:ilvl w:val="0"/>
          <w:numId w:val="12"/>
        </w:numPr>
        <w:spacing w:before="0" w:after="0"/>
        <w:ind w:left="0"/>
        <w:rPr>
          <w:rFonts w:hint="eastAsia"/>
          <w:color w:val="000000" w:themeColor="text1"/>
          <w14:textFill>
            <w14:solidFill>
              <w14:schemeClr w14:val="tx1"/>
            </w14:solidFill>
          </w14:textFill>
        </w:rPr>
      </w:pPr>
      <w:bookmarkStart w:id="161" w:name="_Toc140132777"/>
      <w:bookmarkStart w:id="162" w:name="_Toc29062"/>
      <w:bookmarkStart w:id="163" w:name="_Toc13379"/>
      <w:r>
        <w:rPr>
          <w:rFonts w:hint="eastAsia"/>
          <w:color w:val="000000" w:themeColor="text1"/>
          <w14:textFill>
            <w14:solidFill>
              <w14:schemeClr w14:val="tx1"/>
            </w14:solidFill>
          </w14:textFill>
        </w:rPr>
        <w:t>投标文件的递交</w:t>
      </w:r>
      <w:bookmarkEnd w:id="161"/>
      <w:r>
        <w:rPr>
          <w:rFonts w:hint="eastAsia"/>
          <w:color w:val="000000" w:themeColor="text1"/>
          <w14:textFill>
            <w14:solidFill>
              <w14:schemeClr w14:val="tx1"/>
            </w14:solidFill>
          </w14:textFill>
        </w:rPr>
        <w:t>（上传）</w:t>
      </w:r>
      <w:bookmarkEnd w:id="162"/>
      <w:bookmarkEnd w:id="163"/>
    </w:p>
    <w:p w14:paraId="5C54892E">
      <w:pPr>
        <w:ind w:firstLine="480" w:firstLineChars="200"/>
        <w:rPr>
          <w:rFonts w:hint="eastAsia" w:cs="仿宋_GB2312"/>
          <w:color w:val="000000" w:themeColor="text1"/>
          <w:szCs w:val="24"/>
          <w14:textFill>
            <w14:solidFill>
              <w14:schemeClr w14:val="tx1"/>
            </w14:solidFill>
          </w14:textFill>
        </w:rPr>
      </w:pPr>
      <w:bookmarkStart w:id="164" w:name="_Hlk143531977"/>
      <w:r>
        <w:rPr>
          <w:rFonts w:cs="仿宋_GB2312"/>
          <w:color w:val="000000" w:themeColor="text1"/>
          <w:szCs w:val="24"/>
          <w14:textFill>
            <w14:solidFill>
              <w14:schemeClr w14:val="tx1"/>
            </w14:solidFill>
          </w14:textFill>
        </w:rPr>
        <w:t>19</w:t>
      </w:r>
      <w:r>
        <w:rPr>
          <w:rFonts w:hint="eastAsia" w:cs="仿宋_GB2312"/>
          <w:color w:val="000000" w:themeColor="text1"/>
          <w:szCs w:val="24"/>
          <w14:textFill>
            <w14:solidFill>
              <w14:schemeClr w14:val="tx1"/>
            </w14:solidFill>
          </w14:textFill>
        </w:rPr>
        <w:t>.1 投标人应在“</w:t>
      </w:r>
      <w:r>
        <w:rPr>
          <w:rFonts w:cs="仿宋_GB2312"/>
          <w:color w:val="000000" w:themeColor="text1"/>
          <w:szCs w:val="24"/>
          <w14:textFill>
            <w14:solidFill>
              <w14:schemeClr w14:val="tx1"/>
            </w14:solidFill>
          </w14:textFill>
        </w:rPr>
        <w:t>投标人须知前附表</w:t>
      </w:r>
      <w:r>
        <w:rPr>
          <w:rFonts w:hint="eastAsia" w:cs="仿宋_GB2312"/>
          <w:color w:val="000000" w:themeColor="text1"/>
          <w:szCs w:val="24"/>
          <w14:textFill>
            <w14:solidFill>
              <w14:schemeClr w14:val="tx1"/>
            </w14:solidFill>
          </w14:textFill>
        </w:rPr>
        <w:t>”规定的投标截止时间前递交（上传）投标文件。</w:t>
      </w:r>
    </w:p>
    <w:p w14:paraId="111AC558">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19</w:t>
      </w:r>
      <w:r>
        <w:rPr>
          <w:rFonts w:hint="eastAsia" w:cs="仿宋_GB2312"/>
          <w:color w:val="000000" w:themeColor="text1"/>
          <w:szCs w:val="24"/>
          <w14:textFill>
            <w14:solidFill>
              <w14:schemeClr w14:val="tx1"/>
            </w14:solidFill>
          </w14:textFill>
        </w:rPr>
        <w:t>.2 投标人递交（上传）投标文件的地点见“</w:t>
      </w:r>
      <w:r>
        <w:rPr>
          <w:rFonts w:cs="仿宋_GB2312"/>
          <w:color w:val="000000" w:themeColor="text1"/>
          <w:szCs w:val="24"/>
          <w14:textFill>
            <w14:solidFill>
              <w14:schemeClr w14:val="tx1"/>
            </w14:solidFill>
          </w14:textFill>
        </w:rPr>
        <w:t>投标人须知前附表</w:t>
      </w:r>
      <w:r>
        <w:rPr>
          <w:rFonts w:hint="eastAsia" w:cs="仿宋_GB2312"/>
          <w:color w:val="000000" w:themeColor="text1"/>
          <w:szCs w:val="24"/>
          <w14:textFill>
            <w14:solidFill>
              <w14:schemeClr w14:val="tx1"/>
            </w14:solidFill>
          </w14:textFill>
        </w:rPr>
        <w:t>”。</w:t>
      </w:r>
    </w:p>
    <w:p w14:paraId="18A641D7">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19</w:t>
      </w:r>
      <w:r>
        <w:rPr>
          <w:rFonts w:hint="eastAsia" w:cs="仿宋_GB2312"/>
          <w:color w:val="000000" w:themeColor="text1"/>
          <w:szCs w:val="24"/>
          <w14:textFill>
            <w14:solidFill>
              <w14:schemeClr w14:val="tx1"/>
            </w14:solidFill>
          </w14:textFill>
        </w:rPr>
        <w:t>.3投标人应充分评估集中同时投标带来的网络影响，尽量避开投标高峰时间，错峰进行电子投标。投标人递交全部的投标文件后可在递交投标文件的交易系统中获取投标文件递交回执单。</w:t>
      </w:r>
    </w:p>
    <w:p w14:paraId="035D5790">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19</w:t>
      </w:r>
      <w:r>
        <w:rPr>
          <w:rFonts w:hint="eastAsia" w:cs="仿宋_GB2312"/>
          <w:color w:val="000000" w:themeColor="text1"/>
          <w:szCs w:val="24"/>
          <w14:textFill>
            <w14:solidFill>
              <w14:schemeClr w14:val="tx1"/>
            </w14:solidFill>
          </w14:textFill>
        </w:rPr>
        <w:t>.4</w:t>
      </w:r>
      <w:r>
        <w:rPr>
          <w:rFonts w:cs="仿宋_GB2312"/>
          <w:color w:val="000000" w:themeColor="text1"/>
          <w:szCs w:val="24"/>
          <w14:textFill>
            <w14:solidFill>
              <w14:schemeClr w14:val="tx1"/>
            </w14:solidFill>
          </w14:textFill>
        </w:rPr>
        <w:t xml:space="preserve"> </w:t>
      </w:r>
      <w:r>
        <w:rPr>
          <w:rFonts w:hint="eastAsia" w:cs="仿宋_GB2312"/>
          <w:color w:val="000000" w:themeColor="text1"/>
          <w:szCs w:val="24"/>
          <w14:textFill>
            <w14:solidFill>
              <w14:schemeClr w14:val="tx1"/>
            </w14:solidFill>
          </w14:textFill>
        </w:rPr>
        <w:t>投标人应在供应商客户端中下载未加密且完成签章的投标文件妥善保存，以便启动应急开标程序时使用。</w:t>
      </w:r>
    </w:p>
    <w:p w14:paraId="7B982C3F">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19</w:t>
      </w:r>
      <w:r>
        <w:rPr>
          <w:rFonts w:hint="eastAsia" w:cs="仿宋_GB2312"/>
          <w:color w:val="000000" w:themeColor="text1"/>
          <w:szCs w:val="24"/>
          <w14:textFill>
            <w14:solidFill>
              <w14:schemeClr w14:val="tx1"/>
            </w14:solidFill>
          </w14:textFill>
        </w:rPr>
        <w:t>.</w:t>
      </w:r>
      <w:r>
        <w:rPr>
          <w:rFonts w:cs="仿宋_GB2312"/>
          <w:color w:val="000000" w:themeColor="text1"/>
          <w:szCs w:val="24"/>
          <w14:textFill>
            <w14:solidFill>
              <w14:schemeClr w14:val="tx1"/>
            </w14:solidFill>
          </w14:textFill>
        </w:rPr>
        <w:t>5</w:t>
      </w:r>
      <w:r>
        <w:rPr>
          <w:rFonts w:hint="eastAsia" w:cs="仿宋_GB2312"/>
          <w:color w:val="000000" w:themeColor="text1"/>
          <w:szCs w:val="24"/>
          <w14:textFill>
            <w14:solidFill>
              <w14:schemeClr w14:val="tx1"/>
            </w14:solidFill>
          </w14:textFill>
        </w:rPr>
        <w:t>投标人所递交的投标文件不予退还。</w:t>
      </w:r>
    </w:p>
    <w:bookmarkEnd w:id="164"/>
    <w:p w14:paraId="1828FBFB">
      <w:pPr>
        <w:pStyle w:val="6"/>
        <w:numPr>
          <w:ilvl w:val="0"/>
          <w:numId w:val="12"/>
        </w:numPr>
        <w:spacing w:before="0" w:after="0"/>
        <w:ind w:left="0"/>
        <w:rPr>
          <w:rFonts w:hint="eastAsia"/>
          <w:color w:val="000000" w:themeColor="text1"/>
          <w14:textFill>
            <w14:solidFill>
              <w14:schemeClr w14:val="tx1"/>
            </w14:solidFill>
          </w14:textFill>
        </w:rPr>
      </w:pPr>
      <w:bookmarkStart w:id="165" w:name="_Toc23466"/>
      <w:bookmarkStart w:id="166" w:name="_Toc26897"/>
      <w:r>
        <w:rPr>
          <w:rFonts w:hint="eastAsia"/>
          <w:color w:val="000000" w:themeColor="text1"/>
          <w14:textFill>
            <w14:solidFill>
              <w14:schemeClr w14:val="tx1"/>
            </w14:solidFill>
          </w14:textFill>
        </w:rPr>
        <w:t>拒收</w:t>
      </w:r>
      <w:bookmarkEnd w:id="165"/>
      <w:bookmarkEnd w:id="166"/>
    </w:p>
    <w:p w14:paraId="4A7D279E">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20</w:t>
      </w:r>
      <w:r>
        <w:rPr>
          <w:rFonts w:hint="eastAsia" w:cs="仿宋_GB2312"/>
          <w:color w:val="000000" w:themeColor="text1"/>
          <w:szCs w:val="24"/>
          <w14:textFill>
            <w14:solidFill>
              <w14:schemeClr w14:val="tx1"/>
            </w14:solidFill>
          </w14:textFill>
        </w:rPr>
        <w:t>.1 超过投标文件提交截止时间</w:t>
      </w:r>
      <w:bookmarkStart w:id="167" w:name="_Hlk143532404"/>
      <w:r>
        <w:rPr>
          <w:rFonts w:hint="eastAsia" w:cs="仿宋_GB2312"/>
          <w:color w:val="000000" w:themeColor="text1"/>
          <w:szCs w:val="24"/>
          <w14:textFill>
            <w14:solidFill>
              <w14:schemeClr w14:val="tx1"/>
            </w14:solidFill>
          </w14:textFill>
        </w:rPr>
        <w:t>或者不按照本章要求加密的投标文件，交易系统应当拒收</w:t>
      </w:r>
      <w:bookmarkEnd w:id="167"/>
      <w:r>
        <w:rPr>
          <w:rFonts w:hint="eastAsia" w:cs="仿宋_GB2312"/>
          <w:color w:val="000000" w:themeColor="text1"/>
          <w:szCs w:val="24"/>
          <w14:textFill>
            <w14:solidFill>
              <w14:schemeClr w14:val="tx1"/>
            </w14:solidFill>
          </w14:textFill>
        </w:rPr>
        <w:t>。</w:t>
      </w:r>
    </w:p>
    <w:p w14:paraId="00822024">
      <w:pPr>
        <w:pStyle w:val="6"/>
        <w:numPr>
          <w:ilvl w:val="0"/>
          <w:numId w:val="12"/>
        </w:numPr>
        <w:spacing w:before="0" w:after="0"/>
        <w:ind w:left="0"/>
        <w:rPr>
          <w:rFonts w:hint="eastAsia"/>
          <w:color w:val="000000" w:themeColor="text1"/>
          <w14:textFill>
            <w14:solidFill>
              <w14:schemeClr w14:val="tx1"/>
            </w14:solidFill>
          </w14:textFill>
        </w:rPr>
      </w:pPr>
      <w:bookmarkStart w:id="168" w:name="_Toc10660"/>
      <w:bookmarkStart w:id="169" w:name="_Toc19494"/>
      <w:bookmarkStart w:id="170" w:name="_Toc140132778"/>
      <w:r>
        <w:rPr>
          <w:rFonts w:hint="eastAsia"/>
          <w:color w:val="000000" w:themeColor="text1"/>
          <w14:textFill>
            <w14:solidFill>
              <w14:schemeClr w14:val="tx1"/>
            </w14:solidFill>
          </w14:textFill>
        </w:rPr>
        <w:t>投标文件的修改与撤回</w:t>
      </w:r>
      <w:bookmarkEnd w:id="168"/>
      <w:bookmarkEnd w:id="169"/>
      <w:bookmarkEnd w:id="170"/>
    </w:p>
    <w:p w14:paraId="22213B5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 xml:space="preserve">.1 </w:t>
      </w:r>
      <w:bookmarkStart w:id="171" w:name="_Hlk143532466"/>
      <w:r>
        <w:rPr>
          <w:rFonts w:hint="eastAsia"/>
          <w:color w:val="000000" w:themeColor="text1"/>
          <w14:textFill>
            <w14:solidFill>
              <w14:schemeClr w14:val="tx1"/>
            </w14:solidFill>
          </w14:textFill>
        </w:rPr>
        <w:t>在投标截止时间前，投标人可使用CA证书在递交投标文件的系统中撤回已提交的投标文件。投标文件撤回后，需重新递交的，投标人按照本章第1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款中的要求重新提交投标文件。</w:t>
      </w:r>
      <w:bookmarkEnd w:id="171"/>
    </w:p>
    <w:p w14:paraId="2163924E">
      <w:pPr>
        <w:pStyle w:val="6"/>
        <w:numPr>
          <w:ilvl w:val="0"/>
          <w:numId w:val="12"/>
        </w:numPr>
        <w:spacing w:before="0" w:after="0"/>
        <w:ind w:left="0"/>
        <w:rPr>
          <w:rFonts w:hint="eastAsia"/>
          <w:color w:val="000000" w:themeColor="text1"/>
          <w14:textFill>
            <w14:solidFill>
              <w14:schemeClr w14:val="tx1"/>
            </w14:solidFill>
          </w14:textFill>
        </w:rPr>
      </w:pPr>
      <w:bookmarkStart w:id="172" w:name="_Toc155185874"/>
      <w:bookmarkStart w:id="173" w:name="_Toc2929"/>
      <w:bookmarkStart w:id="174" w:name="_Toc8469"/>
      <w:r>
        <w:rPr>
          <w:rFonts w:hint="eastAsia"/>
          <w:color w:val="000000" w:themeColor="text1"/>
          <w14:textFill>
            <w14:solidFill>
              <w14:schemeClr w14:val="tx1"/>
            </w14:solidFill>
          </w14:textFill>
        </w:rPr>
        <w:t>实物样品</w:t>
      </w:r>
      <w:bookmarkEnd w:id="172"/>
      <w:bookmarkEnd w:id="173"/>
      <w:bookmarkEnd w:id="174"/>
    </w:p>
    <w:p w14:paraId="034BC19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22.1“投标人须知前附表”要求提供样品的，样品的具体要求及评审详见“第三章 采购需求”和“第五章 评标办法及标准”。</w:t>
      </w:r>
    </w:p>
    <w:p w14:paraId="7088C538">
      <w:pPr>
        <w:pStyle w:val="91"/>
        <w:wordWrap/>
        <w:rPr>
          <w:rFonts w:hint="eastAsia" w:cs="仿宋_GB2312"/>
          <w:b/>
          <w:color w:val="000000" w:themeColor="text1"/>
          <w:szCs w:val="24"/>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.2样品退还：未中标的投标人应于中标结果公告发布之日起10日内自行联系采购人取回投标样品；中标人的样品由采购人进行保管、封存，并作为履约验收的参考（招标文件另有规定的从其规定）。</w:t>
      </w:r>
    </w:p>
    <w:p w14:paraId="31E28A51">
      <w:pPr>
        <w:pStyle w:val="6"/>
        <w:numPr>
          <w:ilvl w:val="0"/>
          <w:numId w:val="12"/>
        </w:numPr>
        <w:spacing w:before="0" w:after="0"/>
        <w:ind w:left="0"/>
        <w:rPr>
          <w:rFonts w:hint="eastAsia"/>
          <w:color w:val="000000" w:themeColor="text1"/>
          <w14:textFill>
            <w14:solidFill>
              <w14:schemeClr w14:val="tx1"/>
            </w14:solidFill>
          </w14:textFill>
        </w:rPr>
      </w:pPr>
      <w:bookmarkStart w:id="175" w:name="_Toc24497"/>
      <w:bookmarkStart w:id="176" w:name="_Toc155185875"/>
      <w:bookmarkStart w:id="177" w:name="_Toc28686"/>
      <w:r>
        <w:rPr>
          <w:rFonts w:hint="eastAsia"/>
          <w:color w:val="000000" w:themeColor="text1"/>
          <w14:textFill>
            <w14:solidFill>
              <w14:schemeClr w14:val="tx1"/>
            </w14:solidFill>
          </w14:textFill>
        </w:rPr>
        <w:t>演示</w:t>
      </w:r>
      <w:bookmarkEnd w:id="175"/>
      <w:bookmarkEnd w:id="176"/>
      <w:bookmarkEnd w:id="177"/>
    </w:p>
    <w:p w14:paraId="7660D8D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.1要求投标人进行演示的，演示要求详见“投标人须知前附表”。</w:t>
      </w:r>
    </w:p>
    <w:p w14:paraId="2C646A5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.2演示的评审详见“第三章 采购需求”和“第五章 评标办法及标准”。</w:t>
      </w:r>
    </w:p>
    <w:p w14:paraId="6FD659F2">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178" w:name="_Toc7323"/>
      <w:bookmarkStart w:id="179" w:name="_Toc980"/>
      <w:bookmarkStart w:id="180" w:name="_Toc155185876"/>
      <w:bookmarkStart w:id="181" w:name="_Toc140132779"/>
      <w:r>
        <w:rPr>
          <w:rFonts w:hint="eastAsia" w:ascii="等线" w:hAnsi="等线"/>
          <w:color w:val="000000" w:themeColor="text1"/>
          <w14:textFill>
            <w14:solidFill>
              <w14:schemeClr w14:val="tx1"/>
            </w14:solidFill>
          </w14:textFill>
        </w:rPr>
        <w:t>开标</w:t>
      </w:r>
      <w:bookmarkEnd w:id="178"/>
      <w:bookmarkEnd w:id="179"/>
      <w:bookmarkEnd w:id="180"/>
      <w:bookmarkEnd w:id="181"/>
    </w:p>
    <w:p w14:paraId="19B44BAD">
      <w:pPr>
        <w:pStyle w:val="6"/>
        <w:numPr>
          <w:ilvl w:val="0"/>
          <w:numId w:val="12"/>
        </w:numPr>
        <w:spacing w:before="0" w:after="0"/>
        <w:ind w:left="0"/>
        <w:rPr>
          <w:rFonts w:hint="eastAsia"/>
          <w:color w:val="000000" w:themeColor="text1"/>
          <w14:textFill>
            <w14:solidFill>
              <w14:schemeClr w14:val="tx1"/>
            </w14:solidFill>
          </w14:textFill>
        </w:rPr>
      </w:pPr>
      <w:bookmarkStart w:id="182" w:name="_Toc28405"/>
      <w:bookmarkStart w:id="183" w:name="_Toc24179"/>
      <w:bookmarkStart w:id="184" w:name="_Toc140132780"/>
      <w:r>
        <w:rPr>
          <w:rFonts w:hint="eastAsia"/>
          <w:color w:val="000000" w:themeColor="text1"/>
          <w14:textFill>
            <w14:solidFill>
              <w14:schemeClr w14:val="tx1"/>
            </w14:solidFill>
          </w14:textFill>
        </w:rPr>
        <w:t>开标会议准备</w:t>
      </w:r>
      <w:bookmarkEnd w:id="182"/>
      <w:bookmarkEnd w:id="183"/>
      <w:bookmarkEnd w:id="184"/>
    </w:p>
    <w:p w14:paraId="48B8826F">
      <w:pPr>
        <w:ind w:firstLine="480" w:firstLineChars="200"/>
        <w:rPr>
          <w:rFonts w:hint="eastAsia" w:cs="仿宋_GB2312"/>
          <w:bCs/>
          <w:color w:val="000000" w:themeColor="text1"/>
          <w:szCs w:val="24"/>
          <w14:textFill>
            <w14:solidFill>
              <w14:schemeClr w14:val="tx1"/>
            </w14:solidFill>
          </w14:textFill>
        </w:rPr>
      </w:pPr>
      <w:bookmarkStart w:id="185" w:name="_Toc140132781"/>
      <w:r>
        <w:rPr>
          <w:rFonts w:cs="仿宋_GB2312"/>
          <w:color w:val="000000" w:themeColor="text1"/>
          <w:szCs w:val="24"/>
          <w14:textFill>
            <w14:solidFill>
              <w14:schemeClr w14:val="tx1"/>
            </w14:solidFill>
          </w14:textFill>
        </w:rPr>
        <w:t>24</w:t>
      </w:r>
      <w:r>
        <w:rPr>
          <w:rFonts w:hint="eastAsia" w:cs="仿宋_GB2312"/>
          <w:color w:val="000000" w:themeColor="text1"/>
          <w:szCs w:val="24"/>
          <w14:textFill>
            <w14:solidFill>
              <w14:schemeClr w14:val="tx1"/>
            </w14:solidFill>
          </w14:textFill>
        </w:rPr>
        <w:t>.1 投标人应按照“投标人须知前附表”中的要求参与远程开标。</w:t>
      </w:r>
      <w:bookmarkEnd w:id="185"/>
    </w:p>
    <w:p w14:paraId="721E968C">
      <w:pPr>
        <w:pStyle w:val="6"/>
        <w:numPr>
          <w:ilvl w:val="0"/>
          <w:numId w:val="12"/>
        </w:numPr>
        <w:spacing w:before="0" w:after="0"/>
        <w:ind w:left="0"/>
        <w:rPr>
          <w:rFonts w:hint="eastAsia"/>
          <w:color w:val="000000" w:themeColor="text1"/>
          <w14:textFill>
            <w14:solidFill>
              <w14:schemeClr w14:val="tx1"/>
            </w14:solidFill>
          </w14:textFill>
        </w:rPr>
      </w:pPr>
      <w:bookmarkStart w:id="186" w:name="_Toc162"/>
      <w:bookmarkStart w:id="187" w:name="_Toc140132782"/>
      <w:bookmarkStart w:id="188" w:name="_Toc32354"/>
      <w:r>
        <w:rPr>
          <w:rFonts w:hint="eastAsia"/>
          <w:color w:val="000000" w:themeColor="text1"/>
          <w14:textFill>
            <w14:solidFill>
              <w14:schemeClr w14:val="tx1"/>
            </w14:solidFill>
          </w14:textFill>
        </w:rPr>
        <w:t>开标时间和地点</w:t>
      </w:r>
      <w:bookmarkEnd w:id="186"/>
      <w:bookmarkEnd w:id="187"/>
      <w:bookmarkEnd w:id="188"/>
    </w:p>
    <w:p w14:paraId="54EC114D">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25</w:t>
      </w:r>
      <w:r>
        <w:rPr>
          <w:rFonts w:hint="eastAsia" w:cs="仿宋_GB2312"/>
          <w:color w:val="000000" w:themeColor="text1"/>
          <w:szCs w:val="24"/>
          <w14:textFill>
            <w14:solidFill>
              <w14:schemeClr w14:val="tx1"/>
            </w14:solidFill>
          </w14:textFill>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9ED1A4F">
      <w:pPr>
        <w:pStyle w:val="6"/>
        <w:numPr>
          <w:ilvl w:val="0"/>
          <w:numId w:val="12"/>
        </w:numPr>
        <w:spacing w:before="0" w:after="0"/>
        <w:ind w:left="0"/>
        <w:rPr>
          <w:rFonts w:hint="eastAsia"/>
          <w:color w:val="000000" w:themeColor="text1"/>
          <w14:textFill>
            <w14:solidFill>
              <w14:schemeClr w14:val="tx1"/>
            </w14:solidFill>
          </w14:textFill>
        </w:rPr>
      </w:pPr>
      <w:bookmarkStart w:id="189" w:name="_Toc31333"/>
      <w:bookmarkStart w:id="190" w:name="_Toc1372"/>
      <w:bookmarkStart w:id="191" w:name="_Toc140132783"/>
      <w:r>
        <w:rPr>
          <w:rFonts w:hint="eastAsia"/>
          <w:color w:val="000000" w:themeColor="text1"/>
          <w14:textFill>
            <w14:solidFill>
              <w14:schemeClr w14:val="tx1"/>
            </w14:solidFill>
          </w14:textFill>
        </w:rPr>
        <w:t>开标程序</w:t>
      </w:r>
      <w:bookmarkEnd w:id="189"/>
      <w:bookmarkEnd w:id="190"/>
      <w:bookmarkEnd w:id="191"/>
    </w:p>
    <w:p w14:paraId="49755442">
      <w:pPr>
        <w:widowControl/>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26</w:t>
      </w:r>
      <w:r>
        <w:rPr>
          <w:rFonts w:hint="eastAsia" w:cs="仿宋_GB2312"/>
          <w:color w:val="000000" w:themeColor="text1"/>
          <w:szCs w:val="24"/>
          <w14:textFill>
            <w14:solidFill>
              <w14:schemeClr w14:val="tx1"/>
            </w14:solidFill>
          </w14:textFill>
        </w:rPr>
        <w:t>.1 投标人不足3家的，不得开标。</w:t>
      </w:r>
    </w:p>
    <w:p w14:paraId="088A89EF">
      <w:pPr>
        <w:widowControl/>
        <w:ind w:firstLine="480" w:firstLineChars="200"/>
        <w:rPr>
          <w:rFonts w:hint="eastAsia"/>
          <w:color w:val="000000" w:themeColor="text1"/>
          <w14:textFill>
            <w14:solidFill>
              <w14:schemeClr w14:val="tx1"/>
            </w14:solidFill>
          </w14:textFill>
        </w:rPr>
      </w:pPr>
      <w:r>
        <w:rPr>
          <w:rFonts w:cs="仿宋_GB2312"/>
          <w:color w:val="000000" w:themeColor="text1"/>
          <w:szCs w:val="24"/>
          <w14:textFill>
            <w14:solidFill>
              <w14:schemeClr w14:val="tx1"/>
            </w14:solidFill>
          </w14:textFill>
        </w:rPr>
        <w:t>26</w:t>
      </w:r>
      <w:r>
        <w:rPr>
          <w:rFonts w:hint="eastAsia" w:cs="仿宋_GB2312"/>
          <w:color w:val="000000" w:themeColor="text1"/>
          <w:szCs w:val="24"/>
          <w14:textFill>
            <w14:solidFill>
              <w14:schemeClr w14:val="tx1"/>
            </w14:solidFill>
          </w14:textFill>
        </w:rPr>
        <w:t>.2 评标委员会成员不得参加开标活动。</w:t>
      </w:r>
    </w:p>
    <w:p w14:paraId="6F8E0D23">
      <w:pPr>
        <w:ind w:firstLine="480" w:firstLineChars="20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t>26</w:t>
      </w:r>
      <w:r>
        <w:rPr>
          <w:rFonts w:hint="eastAsia" w:cs="仿宋_GB2312"/>
          <w:color w:val="000000" w:themeColor="text1"/>
          <w:szCs w:val="24"/>
          <w14:textFill>
            <w14:solidFill>
              <w14:schemeClr w14:val="tx1"/>
            </w14:solidFill>
          </w14:textFill>
        </w:rPr>
        <w:t>.3主持人按下列程序进行开标：</w:t>
      </w:r>
    </w:p>
    <w:p w14:paraId="64E53E41">
      <w:pPr>
        <w:ind w:firstLine="398" w:firstLineChars="166"/>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（1）宣布开标会纪律；</w:t>
      </w:r>
    </w:p>
    <w:p w14:paraId="79C2627D">
      <w:pPr>
        <w:ind w:firstLine="398" w:firstLineChars="166"/>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（2）介绍参加开标会的单位和人员；</w:t>
      </w:r>
    </w:p>
    <w:p w14:paraId="2125E2AE">
      <w:pPr>
        <w:ind w:firstLine="398" w:firstLineChars="166"/>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（3）发起投标文件解密。投标人应在“投标人须知前附表”规定的时间内使用加密投标文件的CA证书在系统中完成投标文件的解密；</w:t>
      </w:r>
    </w:p>
    <w:p w14:paraId="5C062643">
      <w:pPr>
        <w:ind w:firstLine="398" w:firstLineChars="166"/>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（4）解密完成后，系统自动显示投标人名称、投标价格和招标文件规定的需要宣布的其他内容；</w:t>
      </w:r>
    </w:p>
    <w:p w14:paraId="694782DF">
      <w:pPr>
        <w:ind w:firstLine="398" w:firstLineChars="166"/>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（5）系统自动生成开标记录表，供应商应在线对开标记录进行签署确认；</w:t>
      </w:r>
    </w:p>
    <w:p w14:paraId="45A424F9">
      <w:pPr>
        <w:widowControl/>
        <w:spacing w:line="240" w:lineRule="auto"/>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（6）开标会结束。</w:t>
      </w:r>
    </w:p>
    <w:p w14:paraId="52A4EBA2">
      <w:pPr>
        <w:pStyle w:val="6"/>
        <w:numPr>
          <w:ilvl w:val="0"/>
          <w:numId w:val="12"/>
        </w:numPr>
        <w:spacing w:before="0" w:after="0"/>
        <w:ind w:left="0"/>
        <w:rPr>
          <w:rFonts w:hint="eastAsia"/>
          <w:color w:val="000000" w:themeColor="text1"/>
          <w14:textFill>
            <w14:solidFill>
              <w14:schemeClr w14:val="tx1"/>
            </w14:solidFill>
          </w14:textFill>
        </w:rPr>
      </w:pPr>
      <w:bookmarkStart w:id="192" w:name="_Toc140132784"/>
      <w:bookmarkStart w:id="193" w:name="_Toc3676"/>
      <w:bookmarkStart w:id="194" w:name="_Toc28956"/>
      <w:r>
        <w:rPr>
          <w:rFonts w:hint="eastAsia"/>
          <w:color w:val="000000" w:themeColor="text1"/>
          <w14:textFill>
            <w14:solidFill>
              <w14:schemeClr w14:val="tx1"/>
            </w14:solidFill>
          </w14:textFill>
        </w:rPr>
        <w:t>开标疑义及回避情形</w:t>
      </w:r>
      <w:bookmarkEnd w:id="192"/>
      <w:bookmarkEnd w:id="193"/>
      <w:bookmarkEnd w:id="194"/>
    </w:p>
    <w:p w14:paraId="4525783B">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27</w:t>
      </w:r>
      <w:r>
        <w:rPr>
          <w:rFonts w:hint="eastAsia"/>
          <w:color w:val="000000" w:themeColor="text1"/>
          <w14:textFill>
            <w14:solidFill>
              <w14:schemeClr w14:val="tx1"/>
            </w14:solidFill>
          </w14:textFill>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3DCA5FB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27.2投标人未参加开标的，视同认可开标结果。</w:t>
      </w:r>
    </w:p>
    <w:p w14:paraId="2C05E152">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195" w:name="_Toc140132785"/>
      <w:bookmarkStart w:id="196" w:name="_Toc2685"/>
      <w:bookmarkStart w:id="197" w:name="_Toc155185877"/>
      <w:bookmarkStart w:id="198" w:name="_Toc10279"/>
      <w:r>
        <w:rPr>
          <w:rFonts w:hint="eastAsia" w:ascii="等线" w:hAnsi="等线"/>
          <w:color w:val="000000" w:themeColor="text1"/>
          <w14:textFill>
            <w14:solidFill>
              <w14:schemeClr w14:val="tx1"/>
            </w14:solidFill>
          </w14:textFill>
        </w:rPr>
        <w:t>资格审查</w:t>
      </w:r>
      <w:bookmarkEnd w:id="195"/>
      <w:bookmarkEnd w:id="196"/>
      <w:bookmarkEnd w:id="197"/>
      <w:bookmarkEnd w:id="198"/>
    </w:p>
    <w:p w14:paraId="63DA5C63">
      <w:pPr>
        <w:pStyle w:val="6"/>
        <w:numPr>
          <w:ilvl w:val="0"/>
          <w:numId w:val="12"/>
        </w:numPr>
        <w:spacing w:before="0" w:after="0"/>
        <w:ind w:left="0"/>
        <w:rPr>
          <w:rFonts w:hint="eastAsia"/>
          <w:color w:val="000000" w:themeColor="text1"/>
          <w14:textFill>
            <w14:solidFill>
              <w14:schemeClr w14:val="tx1"/>
            </w14:solidFill>
          </w14:textFill>
        </w:rPr>
      </w:pPr>
      <w:bookmarkStart w:id="199" w:name="_Toc20643"/>
      <w:bookmarkStart w:id="200" w:name="_Toc2346"/>
      <w:r>
        <w:rPr>
          <w:rFonts w:hint="eastAsia"/>
          <w:color w:val="000000" w:themeColor="text1"/>
          <w14:textFill>
            <w14:solidFill>
              <w14:schemeClr w14:val="tx1"/>
            </w14:solidFill>
          </w14:textFill>
        </w:rPr>
        <w:t>资格审查及审查主体</w:t>
      </w:r>
      <w:bookmarkEnd w:id="199"/>
      <w:bookmarkEnd w:id="200"/>
    </w:p>
    <w:p w14:paraId="4AFEFEF6">
      <w:pPr>
        <w:pStyle w:val="91"/>
        <w:wordWrap/>
        <w:rPr>
          <w:rFonts w:hint="eastAsia"/>
          <w:color w:val="000000" w:themeColor="text1"/>
          <w14:textFill>
            <w14:solidFill>
              <w14:schemeClr w14:val="tx1"/>
            </w14:solidFill>
          </w14:textFill>
        </w:rPr>
      </w:pPr>
      <w:bookmarkStart w:id="201" w:name="_Toc140132786"/>
      <w:r>
        <w:rPr>
          <w:rFonts w:hint="eastAsia"/>
          <w:color w:val="000000" w:themeColor="text1"/>
          <w14:textFill>
            <w14:solidFill>
              <w14:schemeClr w14:val="tx1"/>
            </w14:solidFill>
          </w14:textFill>
        </w:rPr>
        <w:t>2</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开标结束后，根据委托代理协议由资格审查的责任主体依据法律法规和本招标文件的规定，依法对投标人资格进行审查，以确定投标人是否具备投标资格。</w:t>
      </w:r>
      <w:bookmarkEnd w:id="201"/>
    </w:p>
    <w:p w14:paraId="07644B79">
      <w:pPr>
        <w:pStyle w:val="91"/>
        <w:wordWrap/>
        <w:rPr>
          <w:rFonts w:hint="eastAsia"/>
          <w:color w:val="000000" w:themeColor="text1"/>
          <w14:textFill>
            <w14:solidFill>
              <w14:schemeClr w14:val="tx1"/>
            </w14:solidFill>
          </w14:textFill>
        </w:rPr>
      </w:pPr>
      <w:bookmarkStart w:id="202" w:name="_Toc140132787"/>
      <w:r>
        <w:rPr>
          <w:color w:val="000000" w:themeColor="text1"/>
          <w14:textFill>
            <w14:solidFill>
              <w14:schemeClr w14:val="tx1"/>
            </w14:solidFill>
          </w14:textFill>
        </w:rPr>
        <w:t>28</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资格审查</w:t>
      </w:r>
      <w:r>
        <w:rPr>
          <w:rFonts w:hint="eastAsia"/>
          <w:color w:val="000000" w:themeColor="text1"/>
          <w14:textFill>
            <w14:solidFill>
              <w14:schemeClr w14:val="tx1"/>
            </w14:solidFill>
          </w14:textFill>
        </w:rPr>
        <w:t>按第四章“资格审查方法及标准”的规定进行。</w:t>
      </w:r>
      <w:bookmarkEnd w:id="202"/>
    </w:p>
    <w:p w14:paraId="2AD929F2">
      <w:pPr>
        <w:pStyle w:val="91"/>
        <w:wordWrap/>
        <w:rPr>
          <w:rFonts w:hint="eastAsia"/>
          <w:color w:val="000000" w:themeColor="text1"/>
          <w14:textFill>
            <w14:solidFill>
              <w14:schemeClr w14:val="tx1"/>
            </w14:solidFill>
          </w14:textFill>
        </w:rPr>
      </w:pPr>
      <w:bookmarkStart w:id="203" w:name="_Toc140132788"/>
      <w:r>
        <w:rPr>
          <w:color w:val="000000" w:themeColor="text1"/>
          <w14:textFill>
            <w14:solidFill>
              <w14:schemeClr w14:val="tx1"/>
            </w14:solidFill>
          </w14:textFill>
        </w:rPr>
        <w:t>28</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资格审查结束后，应及时对资格性审查结果进行复核，对资格性审查错误进行及时纠正并记录。</w:t>
      </w:r>
      <w:bookmarkEnd w:id="203"/>
    </w:p>
    <w:p w14:paraId="3FF736F0">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04" w:name="_Toc155185878"/>
      <w:bookmarkStart w:id="205" w:name="_Toc19111"/>
      <w:bookmarkStart w:id="206" w:name="_Toc140132789"/>
      <w:bookmarkStart w:id="207" w:name="_Toc20679"/>
      <w:r>
        <w:rPr>
          <w:rFonts w:hint="eastAsia" w:ascii="等线" w:hAnsi="等线"/>
          <w:color w:val="000000" w:themeColor="text1"/>
          <w14:textFill>
            <w14:solidFill>
              <w14:schemeClr w14:val="tx1"/>
            </w14:solidFill>
          </w14:textFill>
        </w:rPr>
        <w:t>评标</w:t>
      </w:r>
      <w:bookmarkEnd w:id="204"/>
      <w:bookmarkEnd w:id="205"/>
      <w:bookmarkEnd w:id="206"/>
      <w:bookmarkEnd w:id="207"/>
    </w:p>
    <w:p w14:paraId="1C77D52E">
      <w:pPr>
        <w:pStyle w:val="6"/>
        <w:numPr>
          <w:ilvl w:val="0"/>
          <w:numId w:val="12"/>
        </w:numPr>
        <w:spacing w:before="0" w:after="0"/>
        <w:ind w:left="0"/>
        <w:rPr>
          <w:rFonts w:hint="eastAsia"/>
          <w:color w:val="000000" w:themeColor="text1"/>
          <w14:textFill>
            <w14:solidFill>
              <w14:schemeClr w14:val="tx1"/>
            </w14:solidFill>
          </w14:textFill>
        </w:rPr>
      </w:pPr>
      <w:bookmarkStart w:id="208" w:name="_Toc13270"/>
      <w:bookmarkStart w:id="209" w:name="_Toc4610"/>
      <w:bookmarkStart w:id="210" w:name="_Toc140132790"/>
      <w:r>
        <w:rPr>
          <w:rFonts w:hint="eastAsia"/>
          <w:color w:val="000000" w:themeColor="text1"/>
          <w14:textFill>
            <w14:solidFill>
              <w14:schemeClr w14:val="tx1"/>
            </w14:solidFill>
          </w14:textFill>
        </w:rPr>
        <w:t>评标委员会</w:t>
      </w:r>
      <w:bookmarkEnd w:id="208"/>
      <w:bookmarkEnd w:id="209"/>
      <w:bookmarkEnd w:id="210"/>
    </w:p>
    <w:p w14:paraId="63CB4A1A">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29</w:t>
      </w:r>
      <w:r>
        <w:rPr>
          <w:rFonts w:hint="eastAsia"/>
          <w:color w:val="000000" w:themeColor="text1"/>
          <w14:textFill>
            <w14:solidFill>
              <w14:schemeClr w14:val="tx1"/>
            </w14:solidFill>
          </w14:textFill>
        </w:rPr>
        <w:t>.1 评标由采购人依法组建的评标委员会负责。评标委员会由采购人代表和评审专家组成。</w:t>
      </w:r>
    </w:p>
    <w:p w14:paraId="2D717B47">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29</w:t>
      </w:r>
      <w:r>
        <w:rPr>
          <w:rFonts w:hint="eastAsia"/>
          <w:color w:val="000000" w:themeColor="text1"/>
          <w14:textFill>
            <w14:solidFill>
              <w14:schemeClr w14:val="tx1"/>
            </w14:solidFill>
          </w14:textFill>
        </w:rPr>
        <w:t>.2 评标委员会成员有下列情形之一的，应当回避：</w:t>
      </w:r>
    </w:p>
    <w:p w14:paraId="6DF3A4D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（1）参加采购活动前3年内与投标人存在劳动关系；</w:t>
      </w:r>
    </w:p>
    <w:p w14:paraId="24B779F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（2）参加采购活动前3年内担任投标人的董事、监事；</w:t>
      </w:r>
    </w:p>
    <w:p w14:paraId="0B10621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（3）参加采购活动前3年内是投标人的控股股东或者实际控制人；</w:t>
      </w:r>
    </w:p>
    <w:p w14:paraId="2363452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（4）与投标人的法定代表人或者负责人有夫妻、直系血亲、三代以内旁系血亲或者近姻亲关系；</w:t>
      </w:r>
    </w:p>
    <w:p w14:paraId="343296B8">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（5）与投标人有其他可能影响采购活动公平、公正进行的关系。</w:t>
      </w:r>
    </w:p>
    <w:p w14:paraId="1C28A98B">
      <w:pPr>
        <w:pStyle w:val="6"/>
        <w:numPr>
          <w:ilvl w:val="0"/>
          <w:numId w:val="12"/>
        </w:numPr>
        <w:spacing w:before="0" w:after="0"/>
        <w:ind w:left="0"/>
        <w:rPr>
          <w:rFonts w:hint="eastAsia"/>
          <w:color w:val="000000" w:themeColor="text1"/>
          <w14:textFill>
            <w14:solidFill>
              <w14:schemeClr w14:val="tx1"/>
            </w14:solidFill>
          </w14:textFill>
        </w:rPr>
      </w:pPr>
      <w:bookmarkStart w:id="211" w:name="_Toc15888"/>
      <w:bookmarkStart w:id="212" w:name="_Toc140132791"/>
      <w:bookmarkStart w:id="213" w:name="_Toc31947"/>
      <w:r>
        <w:rPr>
          <w:rFonts w:hint="eastAsia"/>
          <w:color w:val="000000" w:themeColor="text1"/>
          <w14:textFill>
            <w14:solidFill>
              <w14:schemeClr w14:val="tx1"/>
            </w14:solidFill>
          </w14:textFill>
        </w:rPr>
        <w:t>评标</w:t>
      </w:r>
      <w:bookmarkEnd w:id="211"/>
      <w:bookmarkEnd w:id="212"/>
      <w:bookmarkEnd w:id="213"/>
    </w:p>
    <w:p w14:paraId="04B0321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.1评标委员会按照第五章“评标方法及标准”规定对投标文件进行评审。“评标办法”没有规定的方法、评审因素和标准，不作为评标依据。</w:t>
      </w:r>
    </w:p>
    <w:p w14:paraId="2AAF34E4">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30</w:t>
      </w:r>
      <w:r>
        <w:rPr>
          <w:rFonts w:hint="eastAsia"/>
          <w:color w:val="000000" w:themeColor="text1"/>
          <w14:textFill>
            <w14:solidFill>
              <w14:schemeClr w14:val="tx1"/>
            </w14:solidFill>
          </w14:textFill>
        </w:rPr>
        <w:t>.2评标委员会按“投标人须知前附表”规定的中标候选人数量在评标报告中向采购人推荐中标候选人。</w:t>
      </w:r>
    </w:p>
    <w:p w14:paraId="0028E6AE">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14" w:name="_Toc140132792"/>
      <w:bookmarkStart w:id="215" w:name="_Toc11285"/>
      <w:bookmarkStart w:id="216" w:name="_Toc155185879"/>
      <w:bookmarkStart w:id="217" w:name="_Toc3222"/>
      <w:r>
        <w:rPr>
          <w:rFonts w:hint="eastAsia" w:ascii="等线" w:hAnsi="等线"/>
          <w:color w:val="000000" w:themeColor="text1"/>
          <w14:textFill>
            <w14:solidFill>
              <w14:schemeClr w14:val="tx1"/>
            </w14:solidFill>
          </w14:textFill>
        </w:rPr>
        <w:t>中标</w:t>
      </w:r>
      <w:bookmarkEnd w:id="214"/>
      <w:bookmarkEnd w:id="215"/>
      <w:bookmarkEnd w:id="216"/>
      <w:bookmarkEnd w:id="217"/>
    </w:p>
    <w:p w14:paraId="25CA79F8">
      <w:pPr>
        <w:pStyle w:val="6"/>
        <w:numPr>
          <w:ilvl w:val="0"/>
          <w:numId w:val="12"/>
        </w:numPr>
        <w:spacing w:before="0" w:after="0"/>
        <w:ind w:left="0"/>
        <w:rPr>
          <w:rFonts w:hint="eastAsia"/>
          <w:color w:val="000000" w:themeColor="text1"/>
          <w14:textFill>
            <w14:solidFill>
              <w14:schemeClr w14:val="tx1"/>
            </w14:solidFill>
          </w14:textFill>
        </w:rPr>
      </w:pPr>
      <w:bookmarkStart w:id="218" w:name="_Toc30890"/>
      <w:bookmarkStart w:id="219" w:name="_Toc140132793"/>
      <w:bookmarkStart w:id="220" w:name="_Toc803"/>
      <w:r>
        <w:rPr>
          <w:rFonts w:hint="eastAsia"/>
          <w:color w:val="000000" w:themeColor="text1"/>
          <w14:textFill>
            <w14:solidFill>
              <w14:schemeClr w14:val="tx1"/>
            </w14:solidFill>
          </w14:textFill>
        </w:rPr>
        <w:t>确定中标人</w:t>
      </w:r>
      <w:bookmarkEnd w:id="218"/>
      <w:bookmarkEnd w:id="219"/>
      <w:bookmarkEnd w:id="220"/>
    </w:p>
    <w:p w14:paraId="59D4E691">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31</w:t>
      </w:r>
      <w:r>
        <w:rPr>
          <w:rFonts w:hint="eastAsia"/>
          <w:color w:val="000000" w:themeColor="text1"/>
          <w14:textFill>
            <w14:solidFill>
              <w14:schemeClr w14:val="tx1"/>
            </w14:solidFill>
          </w14:textFill>
        </w:rPr>
        <w:t>.1确定中标人详见“投标人须知前附表”。</w:t>
      </w:r>
    </w:p>
    <w:p w14:paraId="54A63213">
      <w:pPr>
        <w:pStyle w:val="6"/>
        <w:numPr>
          <w:ilvl w:val="0"/>
          <w:numId w:val="12"/>
        </w:numPr>
        <w:spacing w:before="0" w:after="0"/>
        <w:ind w:left="0"/>
        <w:rPr>
          <w:rFonts w:hint="eastAsia"/>
          <w:color w:val="000000" w:themeColor="text1"/>
          <w14:textFill>
            <w14:solidFill>
              <w14:schemeClr w14:val="tx1"/>
            </w14:solidFill>
          </w14:textFill>
        </w:rPr>
      </w:pPr>
      <w:bookmarkStart w:id="221" w:name="_Toc10897"/>
      <w:bookmarkStart w:id="222" w:name="_Toc22719"/>
      <w:bookmarkStart w:id="223" w:name="_Toc140132794"/>
      <w:r>
        <w:rPr>
          <w:rFonts w:hint="eastAsia"/>
          <w:color w:val="000000" w:themeColor="text1"/>
          <w14:textFill>
            <w14:solidFill>
              <w14:schemeClr w14:val="tx1"/>
            </w14:solidFill>
          </w14:textFill>
        </w:rPr>
        <w:t>中标结果公告</w:t>
      </w:r>
      <w:bookmarkEnd w:id="221"/>
      <w:bookmarkEnd w:id="222"/>
      <w:bookmarkEnd w:id="223"/>
    </w:p>
    <w:p w14:paraId="75612732">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32</w:t>
      </w:r>
      <w:r>
        <w:rPr>
          <w:rFonts w:hint="eastAsia"/>
          <w:color w:val="000000" w:themeColor="text1"/>
          <w14:textFill>
            <w14:solidFill>
              <w14:schemeClr w14:val="tx1"/>
            </w14:solidFill>
          </w14:textFill>
        </w:rPr>
        <w:t>.1采购代理机构应当自中标人确定之日起2个工作日内，发出中标通知书，并在“投标人须知前附表”中规定的媒体上发布中标结果公告，招标文件随中标结果同时公告，中标结果公告期限为1个工作日。</w:t>
      </w:r>
    </w:p>
    <w:p w14:paraId="758EA51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2.2</w:t>
      </w:r>
      <w:r>
        <w:rPr>
          <w:rFonts w:hint="eastAsia"/>
          <w:color w:val="000000" w:themeColor="text1"/>
          <w14:textFill>
            <w14:solidFill>
              <w14:schemeClr w14:val="tx1"/>
            </w14:solidFill>
          </w14:textFill>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157F173">
      <w:pPr>
        <w:pStyle w:val="6"/>
        <w:numPr>
          <w:ilvl w:val="0"/>
          <w:numId w:val="12"/>
        </w:numPr>
        <w:spacing w:before="0" w:after="0"/>
        <w:ind w:left="0"/>
        <w:rPr>
          <w:rFonts w:hint="eastAsia"/>
          <w:color w:val="000000" w:themeColor="text1"/>
          <w14:textFill>
            <w14:solidFill>
              <w14:schemeClr w14:val="tx1"/>
            </w14:solidFill>
          </w14:textFill>
        </w:rPr>
      </w:pPr>
      <w:bookmarkStart w:id="224" w:name="_Toc16049"/>
      <w:bookmarkStart w:id="225" w:name="_Toc140132795"/>
      <w:bookmarkStart w:id="226" w:name="_Toc10096"/>
      <w:r>
        <w:rPr>
          <w:rFonts w:hint="eastAsia"/>
          <w:color w:val="000000" w:themeColor="text1"/>
          <w14:textFill>
            <w14:solidFill>
              <w14:schemeClr w14:val="tx1"/>
            </w14:solidFill>
          </w14:textFill>
        </w:rPr>
        <w:t>中标通知</w:t>
      </w:r>
      <w:bookmarkEnd w:id="224"/>
      <w:bookmarkEnd w:id="225"/>
      <w:bookmarkEnd w:id="226"/>
    </w:p>
    <w:p w14:paraId="48FE22F3">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33</w:t>
      </w:r>
      <w:r>
        <w:rPr>
          <w:rFonts w:hint="eastAsia"/>
          <w:color w:val="000000" w:themeColor="text1"/>
          <w14:textFill>
            <w14:solidFill>
              <w14:schemeClr w14:val="tx1"/>
            </w14:solidFill>
          </w14:textFill>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8D2852">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27" w:name="_Toc8195"/>
      <w:bookmarkStart w:id="228" w:name="_Toc27967"/>
      <w:r>
        <w:rPr>
          <w:rFonts w:hint="eastAsia" w:ascii="等线" w:hAnsi="等线"/>
          <w:color w:val="000000" w:themeColor="text1"/>
          <w14:textFill>
            <w14:solidFill>
              <w14:schemeClr w14:val="tx1"/>
            </w14:solidFill>
          </w14:textFill>
        </w:rPr>
        <w:t>签订</w:t>
      </w:r>
      <w:bookmarkStart w:id="229" w:name="_Toc155185880"/>
      <w:bookmarkStart w:id="230" w:name="_Toc140132796"/>
      <w:r>
        <w:rPr>
          <w:rFonts w:hint="eastAsia" w:ascii="等线" w:hAnsi="等线"/>
          <w:color w:val="000000" w:themeColor="text1"/>
          <w14:textFill>
            <w14:solidFill>
              <w14:schemeClr w14:val="tx1"/>
            </w14:solidFill>
          </w14:textFill>
        </w:rPr>
        <w:t>合同</w:t>
      </w:r>
      <w:bookmarkEnd w:id="227"/>
      <w:bookmarkEnd w:id="228"/>
      <w:bookmarkEnd w:id="229"/>
      <w:bookmarkEnd w:id="230"/>
    </w:p>
    <w:p w14:paraId="21A9379C">
      <w:pPr>
        <w:pStyle w:val="6"/>
        <w:numPr>
          <w:ilvl w:val="0"/>
          <w:numId w:val="12"/>
        </w:numPr>
        <w:spacing w:before="0" w:after="0"/>
        <w:ind w:left="0"/>
        <w:rPr>
          <w:rFonts w:hint="eastAsia"/>
          <w:color w:val="000000" w:themeColor="text1"/>
          <w14:textFill>
            <w14:solidFill>
              <w14:schemeClr w14:val="tx1"/>
            </w14:solidFill>
          </w14:textFill>
        </w:rPr>
      </w:pPr>
      <w:bookmarkStart w:id="231" w:name="_Toc11309"/>
      <w:bookmarkStart w:id="232" w:name="_Toc18975"/>
      <w:bookmarkStart w:id="233" w:name="_Toc140132797"/>
      <w:r>
        <w:rPr>
          <w:rFonts w:hint="eastAsia"/>
          <w:color w:val="000000" w:themeColor="text1"/>
          <w14:textFill>
            <w14:solidFill>
              <w14:schemeClr w14:val="tx1"/>
            </w14:solidFill>
          </w14:textFill>
        </w:rPr>
        <w:t>履约保证金</w:t>
      </w:r>
      <w:bookmarkEnd w:id="231"/>
      <w:bookmarkEnd w:id="232"/>
      <w:bookmarkEnd w:id="233"/>
    </w:p>
    <w:p w14:paraId="3FB5CF69">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34</w:t>
      </w:r>
      <w:r>
        <w:rPr>
          <w:rFonts w:hint="eastAsia"/>
          <w:color w:val="000000" w:themeColor="text1"/>
          <w14:textFill>
            <w14:solidFill>
              <w14:schemeClr w14:val="tx1"/>
            </w14:solidFill>
          </w14:textFill>
        </w:rPr>
        <w:t>.1在签订合同前，中标人应按“投标人须知前附表”规定的金额、担保形式和采购人认可的履约担保格式向采购人提交履约保证金。</w:t>
      </w:r>
    </w:p>
    <w:p w14:paraId="58343085">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34</w:t>
      </w:r>
      <w:r>
        <w:rPr>
          <w:rFonts w:hint="eastAsia"/>
          <w:color w:val="000000" w:themeColor="text1"/>
          <w14:textFill>
            <w14:solidFill>
              <w14:schemeClr w14:val="tx1"/>
            </w14:solidFill>
          </w14:textFill>
        </w:rPr>
        <w:t>.2中标人不能按本章第</w:t>
      </w:r>
      <w:r>
        <w:rPr>
          <w:color w:val="000000" w:themeColor="text1"/>
          <w14:textFill>
            <w14:solidFill>
              <w14:schemeClr w14:val="tx1"/>
            </w14:solidFill>
          </w14:textFill>
        </w:rPr>
        <w:t>34</w:t>
      </w:r>
      <w:r>
        <w:rPr>
          <w:rFonts w:hint="eastAsia"/>
          <w:color w:val="000000" w:themeColor="text1"/>
          <w14:textFill>
            <w14:solidFill>
              <w14:schemeClr w14:val="tx1"/>
            </w14:solidFill>
          </w14:textFill>
        </w:rPr>
        <w:t>.1项要求提交履约担保的，视为放弃中标，给采购人造成损失的，中标人还应当承担民事责任。</w:t>
      </w:r>
    </w:p>
    <w:p w14:paraId="4CBD30EB">
      <w:pPr>
        <w:pStyle w:val="6"/>
        <w:numPr>
          <w:ilvl w:val="0"/>
          <w:numId w:val="12"/>
        </w:numPr>
        <w:spacing w:before="0" w:after="0"/>
        <w:ind w:left="0"/>
        <w:rPr>
          <w:rFonts w:hint="eastAsia"/>
          <w:color w:val="000000" w:themeColor="text1"/>
          <w14:textFill>
            <w14:solidFill>
              <w14:schemeClr w14:val="tx1"/>
            </w14:solidFill>
          </w14:textFill>
        </w:rPr>
      </w:pPr>
      <w:bookmarkStart w:id="234" w:name="_Toc7107"/>
      <w:bookmarkStart w:id="235" w:name="_Toc140132798"/>
      <w:bookmarkStart w:id="236" w:name="_Toc7362"/>
      <w:r>
        <w:rPr>
          <w:rFonts w:hint="eastAsia"/>
          <w:color w:val="000000" w:themeColor="text1"/>
          <w14:textFill>
            <w14:solidFill>
              <w14:schemeClr w14:val="tx1"/>
            </w14:solidFill>
          </w14:textFill>
        </w:rPr>
        <w:t>签订合同</w:t>
      </w:r>
      <w:bookmarkEnd w:id="234"/>
      <w:bookmarkEnd w:id="235"/>
      <w:bookmarkEnd w:id="236"/>
    </w:p>
    <w:p w14:paraId="10FD5C97">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35</w:t>
      </w:r>
      <w:r>
        <w:rPr>
          <w:rFonts w:hint="eastAsia"/>
          <w:color w:val="000000" w:themeColor="text1"/>
          <w14:textFill>
            <w14:solidFill>
              <w14:schemeClr w14:val="tx1"/>
            </w14:solidFill>
          </w14:textFill>
        </w:rPr>
        <w:t>.1 采购人和中标人应当自中标通知书发出之日起30天内，根据招标文件和中标人的投标文件订立书面合同。采购人因不可抗力原因迟延签订合同的，应当自不可抗力事由消除之日起</w:t>
      </w:r>
      <w:r>
        <w:rPr>
          <w:color w:val="000000" w:themeColor="text1"/>
          <w14:textFill>
            <w14:solidFill>
              <w14:schemeClr w14:val="tx1"/>
            </w14:solidFill>
          </w14:textFill>
        </w:rPr>
        <w:t>7日内完成合同签订事宜。</w:t>
      </w:r>
      <w:r>
        <w:rPr>
          <w:rFonts w:hint="eastAsia"/>
          <w:color w:val="000000" w:themeColor="text1"/>
          <w14:textFill>
            <w14:solidFill>
              <w14:schemeClr w14:val="tx1"/>
            </w14:solidFill>
          </w14:textFill>
        </w:rPr>
        <w:t>所签订的合同不得对招标文件和中标人投标文件作实质性修改。中标人无正当理由拒签合同的，给采购人造成损失的，中标人还应当承担民事责任。</w:t>
      </w:r>
    </w:p>
    <w:p w14:paraId="1DCCD599">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35</w:t>
      </w:r>
      <w:r>
        <w:rPr>
          <w:rFonts w:hint="eastAsia"/>
          <w:color w:val="000000" w:themeColor="text1"/>
          <w14:textFill>
            <w14:solidFill>
              <w14:schemeClr w14:val="tx1"/>
            </w14:solidFill>
          </w14:textFill>
        </w:rPr>
        <w:t>.2 采购人和中标人不得向对方提出任何不合理的要求，作为签订合同的条件，双方不得私下订立背离合同实质性内容的协议。</w:t>
      </w:r>
    </w:p>
    <w:p w14:paraId="1B1FA98D">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35</w:t>
      </w:r>
      <w:r>
        <w:rPr>
          <w:rFonts w:hint="eastAsia"/>
          <w:color w:val="000000" w:themeColor="text1"/>
          <w14:textFill>
            <w14:solidFill>
              <w14:schemeClr w14:val="tx1"/>
            </w14:solidFill>
          </w14:textFill>
        </w:rPr>
        <w:t>.3采购合同履行中，采购人需追加与合同标的相同的服务的，在不改变合同其他条款的前提下，可以与中标人协商签订补充合同，但所有补充合同的采购金额不得超过原合同采购金额的百分之十。</w:t>
      </w:r>
    </w:p>
    <w:p w14:paraId="736B4BB2">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37" w:name="_Toc19588"/>
      <w:bookmarkStart w:id="238" w:name="_Toc25458"/>
      <w:bookmarkStart w:id="239" w:name="_Toc155185881"/>
      <w:bookmarkStart w:id="240" w:name="_Toc140132799"/>
      <w:r>
        <w:rPr>
          <w:rFonts w:hint="eastAsia" w:ascii="等线" w:hAnsi="等线"/>
          <w:color w:val="000000" w:themeColor="text1"/>
          <w14:textFill>
            <w14:solidFill>
              <w14:schemeClr w14:val="tx1"/>
            </w14:solidFill>
          </w14:textFill>
        </w:rPr>
        <w:t>质疑和投诉</w:t>
      </w:r>
      <w:bookmarkEnd w:id="237"/>
      <w:bookmarkEnd w:id="238"/>
      <w:bookmarkEnd w:id="239"/>
      <w:bookmarkEnd w:id="240"/>
    </w:p>
    <w:p w14:paraId="4B93BB7E">
      <w:pPr>
        <w:pStyle w:val="6"/>
        <w:numPr>
          <w:ilvl w:val="0"/>
          <w:numId w:val="12"/>
        </w:numPr>
        <w:spacing w:before="0" w:after="0"/>
        <w:ind w:left="0"/>
        <w:rPr>
          <w:rFonts w:hint="eastAsia"/>
          <w:color w:val="000000" w:themeColor="text1"/>
          <w14:textFill>
            <w14:solidFill>
              <w14:schemeClr w14:val="tx1"/>
            </w14:solidFill>
          </w14:textFill>
        </w:rPr>
      </w:pPr>
      <w:bookmarkStart w:id="241" w:name="_Toc23537"/>
      <w:bookmarkStart w:id="242" w:name="_Toc140132800"/>
      <w:bookmarkStart w:id="243" w:name="_Toc4353"/>
      <w:r>
        <w:rPr>
          <w:rFonts w:hint="eastAsia"/>
          <w:color w:val="000000" w:themeColor="text1"/>
          <w14:textFill>
            <w14:solidFill>
              <w14:schemeClr w14:val="tx1"/>
            </w14:solidFill>
          </w14:textFill>
        </w:rPr>
        <w:t>质疑</w:t>
      </w:r>
      <w:bookmarkEnd w:id="241"/>
      <w:bookmarkEnd w:id="242"/>
      <w:bookmarkEnd w:id="243"/>
    </w:p>
    <w:p w14:paraId="587BEE28">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36</w:t>
      </w:r>
      <w:r>
        <w:rPr>
          <w:rFonts w:hint="eastAsia"/>
          <w:color w:val="000000" w:themeColor="text1"/>
          <w14:textFill>
            <w14:solidFill>
              <w14:schemeClr w14:val="tx1"/>
            </w14:solidFill>
          </w14:textFill>
        </w:rPr>
        <w:t>.1投标人认为招标文件、招标过程和中标结果使自己的权益受到损害的，可以在知道或者应知其权益受到损害之日起7个工作日内</w:t>
      </w:r>
      <w:bookmarkStart w:id="244" w:name="_Hlk143534740"/>
      <w:r>
        <w:rPr>
          <w:rFonts w:hint="eastAsia"/>
          <w:color w:val="000000" w:themeColor="text1"/>
          <w14:textFill>
            <w14:solidFill>
              <w14:schemeClr w14:val="tx1"/>
            </w14:solidFill>
          </w14:textFill>
        </w:rPr>
        <w:t>，向采购人或采购代理机构提出质疑</w:t>
      </w:r>
      <w:bookmarkEnd w:id="244"/>
      <w:r>
        <w:rPr>
          <w:rFonts w:hint="eastAsia"/>
          <w:color w:val="000000" w:themeColor="text1"/>
          <w14:textFill>
            <w14:solidFill>
              <w14:schemeClr w14:val="tx1"/>
            </w14:solidFill>
          </w14:textFill>
        </w:rPr>
        <w:t>。质疑函可在供应商客户端中编制、提交。</w:t>
      </w:r>
    </w:p>
    <w:p w14:paraId="4CD00BE7">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36</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投标人提出质疑应当提交质疑函和必要的证明材料。质疑函应当包括下列内容：</w:t>
      </w:r>
    </w:p>
    <w:p w14:paraId="434E04CD">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质疑人</w:t>
      </w:r>
      <w:r>
        <w:rPr>
          <w:color w:val="000000" w:themeColor="text1"/>
          <w14:textFill>
            <w14:solidFill>
              <w14:schemeClr w14:val="tx1"/>
            </w14:solidFill>
          </w14:textFill>
        </w:rPr>
        <w:t>的姓名或者名称、地址、邮编、联系人及联系电话；</w:t>
      </w:r>
    </w:p>
    <w:p w14:paraId="2D4224B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（2）质疑项目的名称、编号；</w:t>
      </w:r>
    </w:p>
    <w:p w14:paraId="67436240">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（3）具体、明确的质疑事项和与质疑事项相关的请求；</w:t>
      </w:r>
    </w:p>
    <w:p w14:paraId="5C0A300A">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（4）事实依据；</w:t>
      </w:r>
    </w:p>
    <w:p w14:paraId="2637145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（5）必要的法律依据；</w:t>
      </w:r>
    </w:p>
    <w:p w14:paraId="349A8A0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（6）提出质疑的日期。</w:t>
      </w:r>
    </w:p>
    <w:p w14:paraId="3119E3DD">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36.3</w:t>
      </w:r>
      <w:r>
        <w:rPr>
          <w:rFonts w:hint="eastAsia"/>
          <w:color w:val="000000" w:themeColor="text1"/>
          <w14:textFill>
            <w14:solidFill>
              <w14:schemeClr w14:val="tx1"/>
            </w14:solidFill>
          </w14:textFill>
        </w:rPr>
        <w:t>质疑人</w:t>
      </w:r>
      <w:r>
        <w:rPr>
          <w:color w:val="000000" w:themeColor="text1"/>
          <w14:textFill>
            <w14:solidFill>
              <w14:schemeClr w14:val="tx1"/>
            </w14:solidFill>
          </w14:textFill>
        </w:rPr>
        <w:t>为自然人的，应当由本人签字；</w:t>
      </w:r>
      <w:r>
        <w:rPr>
          <w:rFonts w:hint="eastAsia"/>
          <w:color w:val="000000" w:themeColor="text1"/>
          <w14:textFill>
            <w14:solidFill>
              <w14:schemeClr w14:val="tx1"/>
            </w14:solidFill>
          </w14:textFill>
        </w:rPr>
        <w:t>质疑人</w:t>
      </w:r>
      <w:r>
        <w:rPr>
          <w:color w:val="000000" w:themeColor="text1"/>
          <w14:textFill>
            <w14:solidFill>
              <w14:schemeClr w14:val="tx1"/>
            </w14:solidFill>
          </w14:textFill>
        </w:rPr>
        <w:t>为法人或者其他组织的，应当由法定代表人、主要负责人，或者其授权代表签字或者盖章，并加盖公章。</w:t>
      </w:r>
    </w:p>
    <w:p w14:paraId="55202120">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36.4</w:t>
      </w:r>
      <w:r>
        <w:rPr>
          <w:rFonts w:hint="eastAsia"/>
          <w:color w:val="000000" w:themeColor="text1"/>
          <w14:textFill>
            <w14:solidFill>
              <w14:schemeClr w14:val="tx1"/>
            </w14:solidFill>
          </w14:textFill>
        </w:rPr>
        <w:t>通过客户端提出质疑的，</w:t>
      </w:r>
      <w:bookmarkStart w:id="245" w:name="_Hlk143534761"/>
      <w:r>
        <w:rPr>
          <w:rFonts w:hint="eastAsia"/>
          <w:color w:val="000000" w:themeColor="text1"/>
          <w14:textFill>
            <w14:solidFill>
              <w14:schemeClr w14:val="tx1"/>
            </w14:solidFill>
          </w14:textFill>
        </w:rPr>
        <w:t>质疑</w:t>
      </w:r>
      <w:r>
        <w:rPr>
          <w:color w:val="000000" w:themeColor="text1"/>
          <w14:textFill>
            <w14:solidFill>
              <w14:schemeClr w14:val="tx1"/>
            </w14:solidFill>
          </w14:textFill>
        </w:rPr>
        <w:t>人为自然人的，应当</w:t>
      </w:r>
      <w:r>
        <w:rPr>
          <w:rFonts w:hint="eastAsia"/>
          <w:color w:val="000000" w:themeColor="text1"/>
          <w14:textFill>
            <w14:solidFill>
              <w14:schemeClr w14:val="tx1"/>
            </w14:solidFill>
          </w14:textFill>
        </w:rPr>
        <w:t>加盖</w:t>
      </w:r>
      <w:r>
        <w:rPr>
          <w:color w:val="000000" w:themeColor="text1"/>
          <w14:textFill>
            <w14:solidFill>
              <w14:schemeClr w14:val="tx1"/>
            </w14:solidFill>
          </w14:textFill>
        </w:rPr>
        <w:t>本人</w:t>
      </w:r>
      <w:r>
        <w:rPr>
          <w:rFonts w:hint="eastAsia"/>
          <w:color w:val="000000" w:themeColor="text1"/>
          <w14:textFill>
            <w14:solidFill>
              <w14:schemeClr w14:val="tx1"/>
            </w14:solidFill>
          </w14:textFill>
        </w:rPr>
        <w:t>电子印章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质疑</w:t>
      </w:r>
      <w:r>
        <w:rPr>
          <w:color w:val="000000" w:themeColor="text1"/>
          <w14:textFill>
            <w14:solidFill>
              <w14:schemeClr w14:val="tx1"/>
            </w14:solidFill>
          </w14:textFill>
        </w:rPr>
        <w:t>人为法人或者其他组织的，应当</w:t>
      </w:r>
      <w:r>
        <w:rPr>
          <w:rFonts w:hint="eastAsia"/>
          <w:color w:val="000000" w:themeColor="text1"/>
          <w14:textFill>
            <w14:solidFill>
              <w14:schemeClr w14:val="tx1"/>
            </w14:solidFill>
          </w14:textFill>
        </w:rPr>
        <w:t>加盖单位电子印章</w:t>
      </w:r>
      <w:bookmarkEnd w:id="245"/>
      <w:r>
        <w:rPr>
          <w:rFonts w:hint="eastAsia"/>
          <w:color w:val="000000" w:themeColor="text1"/>
          <w14:textFill>
            <w14:solidFill>
              <w14:schemeClr w14:val="tx1"/>
            </w14:solidFill>
          </w14:textFill>
        </w:rPr>
        <w:t>。</w:t>
      </w:r>
    </w:p>
    <w:p w14:paraId="77F7C42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.5质疑函不符合上述要求的，采购人或代理机构应书面告知具体事项，质疑人应当按要求进行修改或补充，并在质疑有效期限内提交。</w:t>
      </w:r>
    </w:p>
    <w:p w14:paraId="68892370">
      <w:pPr>
        <w:pStyle w:val="6"/>
        <w:numPr>
          <w:ilvl w:val="0"/>
          <w:numId w:val="12"/>
        </w:numPr>
        <w:spacing w:before="0" w:after="0"/>
        <w:ind w:left="0"/>
        <w:rPr>
          <w:rFonts w:hint="eastAsia"/>
          <w:color w:val="000000" w:themeColor="text1"/>
          <w14:textFill>
            <w14:solidFill>
              <w14:schemeClr w14:val="tx1"/>
            </w14:solidFill>
          </w14:textFill>
        </w:rPr>
      </w:pPr>
      <w:bookmarkStart w:id="246" w:name="_Toc140132801"/>
      <w:bookmarkStart w:id="247" w:name="_Toc25263"/>
      <w:bookmarkStart w:id="248" w:name="_Toc20607"/>
      <w:r>
        <w:rPr>
          <w:rFonts w:hint="eastAsia"/>
          <w:color w:val="000000" w:themeColor="text1"/>
          <w14:textFill>
            <w14:solidFill>
              <w14:schemeClr w14:val="tx1"/>
            </w14:solidFill>
          </w14:textFill>
        </w:rPr>
        <w:t>质疑答复</w:t>
      </w:r>
      <w:bookmarkEnd w:id="246"/>
      <w:bookmarkEnd w:id="247"/>
      <w:bookmarkEnd w:id="248"/>
    </w:p>
    <w:p w14:paraId="31F57FBB">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37</w:t>
      </w:r>
      <w:r>
        <w:rPr>
          <w:rFonts w:hint="eastAsia"/>
          <w:color w:val="000000" w:themeColor="text1"/>
          <w14:textFill>
            <w14:solidFill>
              <w14:schemeClr w14:val="tx1"/>
            </w14:solidFill>
          </w14:textFill>
        </w:rPr>
        <w:t>.1采购人或采购代理机构应当在收到投标人的书面质疑后7个工作日内作出答复，并以书面形式通知质疑投标人和其他有关投标人，但答复的内容不得涉及商业秘密。</w:t>
      </w:r>
    </w:p>
    <w:p w14:paraId="0323908E">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37</w:t>
      </w:r>
      <w:r>
        <w:rPr>
          <w:rFonts w:hint="eastAsia"/>
          <w:color w:val="000000" w:themeColor="text1"/>
          <w14:textFill>
            <w14:solidFill>
              <w14:schemeClr w14:val="tx1"/>
            </w14:solidFill>
          </w14:textFill>
        </w:rPr>
        <w:t>.2质疑答复应当包括下列内容：</w:t>
      </w:r>
    </w:p>
    <w:p w14:paraId="06B1B9E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（1）质疑人的姓名或者名称；</w:t>
      </w:r>
    </w:p>
    <w:p w14:paraId="207BD2B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（2）收到质疑函的日期、质疑项目名称及编号；</w:t>
      </w:r>
    </w:p>
    <w:p w14:paraId="3699DD1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（3）质疑事项、质疑答复的具体内容、事实依据和法律依据；</w:t>
      </w:r>
    </w:p>
    <w:p w14:paraId="3A85D51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（4）告知质疑人依法投诉的权利；</w:t>
      </w:r>
    </w:p>
    <w:p w14:paraId="389D854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（5）质疑答复人名称；</w:t>
      </w:r>
    </w:p>
    <w:p w14:paraId="56C37EAC">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（6）答复质疑的日期。</w:t>
      </w:r>
    </w:p>
    <w:p w14:paraId="11B3AE1A">
      <w:pPr>
        <w:pStyle w:val="6"/>
        <w:numPr>
          <w:ilvl w:val="0"/>
          <w:numId w:val="12"/>
        </w:numPr>
        <w:spacing w:before="0" w:after="0"/>
        <w:ind w:left="0"/>
        <w:rPr>
          <w:rFonts w:hint="eastAsia"/>
          <w:color w:val="000000" w:themeColor="text1"/>
          <w14:textFill>
            <w14:solidFill>
              <w14:schemeClr w14:val="tx1"/>
            </w14:solidFill>
          </w14:textFill>
        </w:rPr>
      </w:pPr>
      <w:bookmarkStart w:id="249" w:name="_Toc19841"/>
      <w:bookmarkStart w:id="250" w:name="_Toc140132802"/>
      <w:bookmarkStart w:id="251" w:name="_Toc26117"/>
      <w:r>
        <w:rPr>
          <w:rFonts w:hint="eastAsia"/>
          <w:color w:val="000000" w:themeColor="text1"/>
          <w14:textFill>
            <w14:solidFill>
              <w14:schemeClr w14:val="tx1"/>
            </w14:solidFill>
          </w14:textFill>
        </w:rPr>
        <w:t>投诉</w:t>
      </w:r>
      <w:bookmarkEnd w:id="249"/>
      <w:bookmarkEnd w:id="250"/>
      <w:bookmarkEnd w:id="251"/>
    </w:p>
    <w:p w14:paraId="1C358C98">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38</w:t>
      </w:r>
      <w:r>
        <w:rPr>
          <w:rFonts w:hint="eastAsia"/>
          <w:color w:val="000000" w:themeColor="text1"/>
          <w14:textFill>
            <w14:solidFill>
              <w14:schemeClr w14:val="tx1"/>
            </w14:solidFill>
          </w14:textFill>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7CA41E20">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38</w:t>
      </w:r>
      <w:r>
        <w:rPr>
          <w:rFonts w:hint="eastAsia"/>
          <w:color w:val="000000" w:themeColor="text1"/>
          <w14:textFill>
            <w14:solidFill>
              <w14:schemeClr w14:val="tx1"/>
            </w14:solidFill>
          </w14:textFill>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58F33C4">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52" w:name="_Toc6161"/>
      <w:bookmarkStart w:id="253" w:name="_Toc155185882"/>
      <w:bookmarkStart w:id="254" w:name="_Toc140132803"/>
      <w:bookmarkStart w:id="255" w:name="_Toc7317"/>
      <w:r>
        <w:rPr>
          <w:rFonts w:hint="eastAsia" w:ascii="等线" w:hAnsi="等线"/>
          <w:color w:val="000000" w:themeColor="text1"/>
          <w14:textFill>
            <w14:solidFill>
              <w14:schemeClr w14:val="tx1"/>
            </w14:solidFill>
          </w14:textFill>
        </w:rPr>
        <w:t>采购代理服务费</w:t>
      </w:r>
      <w:bookmarkEnd w:id="252"/>
      <w:bookmarkEnd w:id="253"/>
      <w:bookmarkEnd w:id="254"/>
      <w:bookmarkEnd w:id="255"/>
    </w:p>
    <w:p w14:paraId="38BEB990">
      <w:pPr>
        <w:pStyle w:val="6"/>
        <w:numPr>
          <w:ilvl w:val="0"/>
          <w:numId w:val="12"/>
        </w:numPr>
        <w:spacing w:before="0" w:after="0"/>
        <w:ind w:left="0"/>
        <w:rPr>
          <w:rFonts w:hint="eastAsia"/>
          <w:color w:val="000000" w:themeColor="text1"/>
          <w14:textFill>
            <w14:solidFill>
              <w14:schemeClr w14:val="tx1"/>
            </w14:solidFill>
          </w14:textFill>
        </w:rPr>
      </w:pPr>
      <w:bookmarkStart w:id="256" w:name="_Toc140132804"/>
      <w:bookmarkStart w:id="257" w:name="_Toc31258"/>
      <w:bookmarkStart w:id="258" w:name="_Toc13416"/>
      <w:r>
        <w:rPr>
          <w:rFonts w:hint="eastAsia"/>
          <w:color w:val="000000" w:themeColor="text1"/>
          <w14:textFill>
            <w14:solidFill>
              <w14:schemeClr w14:val="tx1"/>
            </w14:solidFill>
          </w14:textFill>
        </w:rPr>
        <w:t>收取方式和标准</w:t>
      </w:r>
      <w:bookmarkEnd w:id="256"/>
      <w:bookmarkEnd w:id="257"/>
      <w:bookmarkEnd w:id="258"/>
    </w:p>
    <w:p w14:paraId="101985BF">
      <w:pPr>
        <w:pStyle w:val="91"/>
        <w:wordWrap/>
        <w:rPr>
          <w:rFonts w:hint="eastAsia"/>
          <w:color w:val="000000" w:themeColor="text1"/>
          <w14:textFill>
            <w14:solidFill>
              <w14:schemeClr w14:val="tx1"/>
            </w14:solidFill>
          </w14:textFill>
        </w:rPr>
      </w:pPr>
      <w:r>
        <w:rPr>
          <w:bCs/>
          <w:color w:val="000000" w:themeColor="text1"/>
          <w14:textFill>
            <w14:solidFill>
              <w14:schemeClr w14:val="tx1"/>
            </w14:solidFill>
          </w14:textFill>
        </w:rPr>
        <w:t>39</w:t>
      </w:r>
      <w:r>
        <w:rPr>
          <w:rFonts w:hint="eastAsia"/>
          <w:color w:val="000000" w:themeColor="text1"/>
          <w14:textFill>
            <w14:solidFill>
              <w14:schemeClr w14:val="tx1"/>
            </w14:solidFill>
          </w14:textFill>
        </w:rPr>
        <w:t>.1采购代理机构按“投标人须知前附表”规定的方式和标准收取采购代理服务费。</w:t>
      </w:r>
    </w:p>
    <w:p w14:paraId="50880596">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59" w:name="_Toc21791"/>
      <w:bookmarkStart w:id="260" w:name="_Toc155185883"/>
      <w:bookmarkStart w:id="261" w:name="_Toc140132805"/>
      <w:bookmarkStart w:id="262" w:name="_Toc6194"/>
      <w:r>
        <w:rPr>
          <w:rFonts w:hint="eastAsia" w:ascii="等线" w:hAnsi="等线"/>
          <w:color w:val="000000" w:themeColor="text1"/>
          <w14:textFill>
            <w14:solidFill>
              <w14:schemeClr w14:val="tx1"/>
            </w14:solidFill>
          </w14:textFill>
        </w:rPr>
        <w:t>无效投标和废标</w:t>
      </w:r>
      <w:bookmarkEnd w:id="259"/>
      <w:bookmarkEnd w:id="260"/>
      <w:bookmarkEnd w:id="261"/>
      <w:bookmarkEnd w:id="262"/>
    </w:p>
    <w:p w14:paraId="378C3042">
      <w:pPr>
        <w:pStyle w:val="6"/>
        <w:numPr>
          <w:ilvl w:val="0"/>
          <w:numId w:val="12"/>
        </w:numPr>
        <w:spacing w:before="0" w:after="0"/>
        <w:ind w:left="0"/>
        <w:rPr>
          <w:rFonts w:hint="eastAsia"/>
          <w:color w:val="000000" w:themeColor="text1"/>
          <w14:textFill>
            <w14:solidFill>
              <w14:schemeClr w14:val="tx1"/>
            </w14:solidFill>
          </w14:textFill>
        </w:rPr>
      </w:pPr>
      <w:bookmarkStart w:id="263" w:name="_Toc17347"/>
      <w:bookmarkStart w:id="264" w:name="_Toc140132806"/>
      <w:bookmarkStart w:id="265" w:name="_Toc15318"/>
      <w:r>
        <w:rPr>
          <w:rFonts w:hint="eastAsia"/>
          <w:color w:val="000000" w:themeColor="text1"/>
          <w14:textFill>
            <w14:solidFill>
              <w14:schemeClr w14:val="tx1"/>
            </w14:solidFill>
          </w14:textFill>
        </w:rPr>
        <w:t>无效投标</w:t>
      </w:r>
      <w:bookmarkEnd w:id="263"/>
      <w:bookmarkEnd w:id="264"/>
      <w:bookmarkEnd w:id="265"/>
    </w:p>
    <w:p w14:paraId="676F8C3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40</w:t>
      </w:r>
      <w:r>
        <w:rPr>
          <w:rFonts w:hint="eastAsia"/>
          <w:color w:val="000000" w:themeColor="text1"/>
          <w14:textFill>
            <w14:solidFill>
              <w14:schemeClr w14:val="tx1"/>
            </w14:solidFill>
          </w14:textFill>
        </w:rPr>
        <w:t>.1投标文件存在第四章“资格审查方法及标准”、第五章 “评标方法及标准”规定的投标无效情形的，其</w:t>
      </w:r>
      <w:r>
        <w:rPr>
          <w:rFonts w:hint="eastAsia"/>
          <w:b/>
          <w:bCs/>
          <w:color w:val="000000" w:themeColor="text1"/>
          <w14:textFill>
            <w14:solidFill>
              <w14:schemeClr w14:val="tx1"/>
            </w14:solidFill>
          </w14:textFill>
        </w:rPr>
        <w:t>投标无效</w:t>
      </w:r>
      <w:r>
        <w:rPr>
          <w:rFonts w:hint="eastAsia"/>
          <w:color w:val="000000" w:themeColor="text1"/>
          <w14:textFill>
            <w14:solidFill>
              <w14:schemeClr w14:val="tx1"/>
            </w14:solidFill>
          </w14:textFill>
        </w:rPr>
        <w:t>。</w:t>
      </w:r>
    </w:p>
    <w:p w14:paraId="30D08B45">
      <w:pPr>
        <w:pStyle w:val="6"/>
        <w:numPr>
          <w:ilvl w:val="0"/>
          <w:numId w:val="12"/>
        </w:numPr>
        <w:spacing w:before="0" w:after="0"/>
        <w:ind w:left="0"/>
        <w:rPr>
          <w:rFonts w:hint="eastAsia"/>
          <w:color w:val="000000" w:themeColor="text1"/>
          <w14:textFill>
            <w14:solidFill>
              <w14:schemeClr w14:val="tx1"/>
            </w14:solidFill>
          </w14:textFill>
        </w:rPr>
      </w:pPr>
      <w:bookmarkStart w:id="266" w:name="_Toc140132807"/>
      <w:bookmarkStart w:id="267" w:name="_Toc10603"/>
      <w:bookmarkStart w:id="268" w:name="_Toc14229"/>
      <w:r>
        <w:rPr>
          <w:rFonts w:hint="eastAsia"/>
          <w:color w:val="000000" w:themeColor="text1"/>
          <w14:textFill>
            <w14:solidFill>
              <w14:schemeClr w14:val="tx1"/>
            </w14:solidFill>
          </w14:textFill>
        </w:rPr>
        <w:t>废标</w:t>
      </w:r>
      <w:bookmarkEnd w:id="266"/>
      <w:bookmarkEnd w:id="267"/>
      <w:bookmarkEnd w:id="268"/>
    </w:p>
    <w:p w14:paraId="081D87E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.1在招标采购中出现有下列情形之一的，应予以</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w:t>
      </w:r>
    </w:p>
    <w:p w14:paraId="6AEE3208">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（1）符合专业条件的投标人或者对招标文件作实质响应的投标人不足三家的；</w:t>
      </w:r>
    </w:p>
    <w:p w14:paraId="14C7BC1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（2）出现影响采购公正的违法、违规行为的；</w:t>
      </w:r>
    </w:p>
    <w:p w14:paraId="64C0761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（3）投标人的报价均超过了采购预算，采购人不能支付的；</w:t>
      </w:r>
    </w:p>
    <w:p w14:paraId="4817F23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（4）因重大变故，采购任务取消的。</w:t>
      </w:r>
    </w:p>
    <w:p w14:paraId="3D6D9254">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69" w:name="_Toc4522"/>
      <w:bookmarkStart w:id="270" w:name="_Toc21826"/>
      <w:bookmarkStart w:id="271" w:name="_Toc140132766"/>
      <w:bookmarkStart w:id="272" w:name="_Toc140132808"/>
      <w:bookmarkStart w:id="273" w:name="_Toc155185884"/>
      <w:r>
        <w:rPr>
          <w:rFonts w:hint="eastAsia" w:ascii="等线" w:hAnsi="等线"/>
          <w:color w:val="000000" w:themeColor="text1"/>
          <w14:textFill>
            <w14:solidFill>
              <w14:schemeClr w14:val="tx1"/>
            </w14:solidFill>
          </w14:textFill>
        </w:rPr>
        <w:t>落实政府采购政策</w:t>
      </w:r>
      <w:bookmarkEnd w:id="269"/>
      <w:bookmarkEnd w:id="270"/>
      <w:bookmarkEnd w:id="271"/>
    </w:p>
    <w:p w14:paraId="6777BD3F">
      <w:pPr>
        <w:pStyle w:val="6"/>
        <w:numPr>
          <w:ilvl w:val="0"/>
          <w:numId w:val="12"/>
        </w:numPr>
        <w:spacing w:before="0" w:after="0"/>
        <w:ind w:left="0"/>
        <w:rPr>
          <w:rFonts w:hint="eastAsia"/>
          <w:color w:val="000000" w:themeColor="text1"/>
          <w14:textFill>
            <w14:solidFill>
              <w14:schemeClr w14:val="tx1"/>
            </w14:solidFill>
          </w14:textFill>
        </w:rPr>
      </w:pPr>
      <w:bookmarkStart w:id="274" w:name="_Toc15020"/>
      <w:bookmarkStart w:id="275" w:name="_Toc17271"/>
      <w:r>
        <w:rPr>
          <w:color w:val="000000" w:themeColor="text1"/>
          <w14:textFill>
            <w14:solidFill>
              <w14:schemeClr w14:val="tx1"/>
            </w14:solidFill>
          </w14:textFill>
        </w:rPr>
        <w:t>支持国产和进口产品审批</w:t>
      </w:r>
      <w:bookmarkEnd w:id="274"/>
      <w:bookmarkEnd w:id="275"/>
    </w:p>
    <w:p w14:paraId="1700F212">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42</w:t>
      </w:r>
      <w:r>
        <w:rPr>
          <w:rFonts w:hint="eastAsia"/>
          <w:color w:val="000000" w:themeColor="text1"/>
          <w14:textFill>
            <w14:solidFill>
              <w14:schemeClr w14:val="tx1"/>
            </w14:solidFill>
          </w14:textFill>
        </w:rPr>
        <w:t>.1除“投标人须知前附表”另有规定外，政府采购应当采购本国产品，确需采购进口产品的，采购人应当按照《关于政府采购进口产品管理有关问题的通知》（财办库〔</w:t>
      </w:r>
      <w:r>
        <w:rPr>
          <w:color w:val="000000" w:themeColor="text1"/>
          <w14:textFill>
            <w14:solidFill>
              <w14:schemeClr w14:val="tx1"/>
            </w14:solidFill>
          </w14:textFill>
        </w:rPr>
        <w:t>2008〕248号）规定执行（进口产品审批制，科研院所监管部门另有规定的从其规定）。</w:t>
      </w:r>
      <w:r>
        <w:rPr>
          <w:rFonts w:hint="eastAsia"/>
          <w:color w:val="000000" w:themeColor="text1"/>
          <w14:textFill>
            <w14:solidFill>
              <w14:schemeClr w14:val="tx1"/>
            </w14:solidFill>
          </w14:textFill>
        </w:rPr>
        <w:t>项目若涉及采购进口产品的，具体要求详见“第三章</w:t>
      </w:r>
      <w:r>
        <w:rPr>
          <w:color w:val="000000" w:themeColor="text1"/>
          <w14:textFill>
            <w14:solidFill>
              <w14:schemeClr w14:val="tx1"/>
            </w14:solidFill>
          </w14:textFill>
        </w:rPr>
        <w:t xml:space="preserve"> 采购需求”</w:t>
      </w:r>
      <w:r>
        <w:rPr>
          <w:rFonts w:hint="eastAsia"/>
          <w:color w:val="000000" w:themeColor="text1"/>
          <w14:textFill>
            <w14:solidFill>
              <w14:schemeClr w14:val="tx1"/>
            </w14:solidFill>
          </w14:textFill>
        </w:rPr>
        <w:t>。</w:t>
      </w:r>
    </w:p>
    <w:p w14:paraId="578F9B84">
      <w:pPr>
        <w:pStyle w:val="6"/>
        <w:numPr>
          <w:ilvl w:val="0"/>
          <w:numId w:val="12"/>
        </w:numPr>
        <w:spacing w:before="0" w:after="0"/>
        <w:ind w:left="0"/>
        <w:rPr>
          <w:rFonts w:hint="eastAsia"/>
          <w:color w:val="000000" w:themeColor="text1"/>
          <w14:textFill>
            <w14:solidFill>
              <w14:schemeClr w14:val="tx1"/>
            </w14:solidFill>
          </w14:textFill>
        </w:rPr>
      </w:pPr>
      <w:bookmarkStart w:id="276" w:name="_Toc15245"/>
      <w:bookmarkStart w:id="277" w:name="_Toc3045"/>
      <w:r>
        <w:rPr>
          <w:rFonts w:hint="eastAsia"/>
          <w:color w:val="000000" w:themeColor="text1"/>
          <w14:textFill>
            <w14:solidFill>
              <w14:schemeClr w14:val="tx1"/>
            </w14:solidFill>
          </w14:textFill>
        </w:rPr>
        <w:t>中小企业、监狱企业及残疾人福利性单位</w:t>
      </w:r>
      <w:bookmarkEnd w:id="276"/>
      <w:bookmarkEnd w:id="277"/>
    </w:p>
    <w:p w14:paraId="42F4E96B">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.1为促进中小企业发展，依据《</w:t>
      </w:r>
      <w:r>
        <w:rPr>
          <w:color w:val="000000" w:themeColor="text1"/>
          <w14:textFill>
            <w14:solidFill>
              <w14:schemeClr w14:val="tx1"/>
            </w14:solidFill>
          </w14:textFill>
        </w:rPr>
        <w:t>关于印发</w:t>
      </w:r>
      <w:r>
        <w:rPr>
          <w:rFonts w:hint="eastAsia"/>
          <w:color w:val="000000" w:themeColor="text1"/>
          <w14:textFill>
            <w14:solidFill>
              <w14:schemeClr w14:val="tx1"/>
            </w14:solidFill>
          </w14:textFill>
        </w:rPr>
        <w:t>&lt;</w:t>
      </w:r>
      <w:r>
        <w:rPr>
          <w:color w:val="000000" w:themeColor="text1"/>
          <w14:textFill>
            <w14:solidFill>
              <w14:schemeClr w14:val="tx1"/>
            </w14:solidFill>
          </w14:textFill>
        </w:rPr>
        <w:t>政府采购促进中小企业发展管理办法</w:t>
      </w:r>
      <w:r>
        <w:rPr>
          <w:rFonts w:hint="eastAsia"/>
          <w:color w:val="000000" w:themeColor="text1"/>
          <w14:textFill>
            <w14:solidFill>
              <w14:schemeClr w14:val="tx1"/>
            </w14:solidFill>
          </w14:textFill>
        </w:rPr>
        <w:t>&gt;</w:t>
      </w:r>
      <w:r>
        <w:rPr>
          <w:color w:val="000000" w:themeColor="text1"/>
          <w14:textFill>
            <w14:solidFill>
              <w14:schemeClr w14:val="tx1"/>
            </w14:solidFill>
          </w14:textFill>
        </w:rPr>
        <w:t>的通知</w:t>
      </w:r>
      <w:r>
        <w:rPr>
          <w:rFonts w:hint="eastAsia"/>
          <w:color w:val="000000" w:themeColor="text1"/>
          <w14:textFill>
            <w14:solidFill>
              <w14:schemeClr w14:val="tx1"/>
            </w14:solidFill>
          </w14:textFill>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〕5号）的规定，本项目投标人如符合上述文件规定的，需提供《中小企业声明函》、监狱企业证明文件、</w:t>
      </w:r>
      <w:r>
        <w:rPr>
          <w:color w:val="000000" w:themeColor="text1"/>
          <w14:textFill>
            <w14:solidFill>
              <w14:schemeClr w14:val="tx1"/>
            </w14:solidFill>
          </w14:textFill>
        </w:rPr>
        <w:t>《残疾人福利性单位声明函》</w:t>
      </w:r>
      <w:r>
        <w:rPr>
          <w:rFonts w:hint="eastAsia"/>
          <w:color w:val="000000" w:themeColor="text1"/>
          <w14:textFill>
            <w14:solidFill>
              <w14:schemeClr w14:val="tx1"/>
            </w14:solidFill>
          </w14:textFill>
        </w:rPr>
        <w:t>，评审时，评标委员会将依据“投标人须知前附表”规定的报价扣除比例，对投标人报价进行价格扣除，用扣除后的价格参与评审。</w:t>
      </w:r>
    </w:p>
    <w:p w14:paraId="277EA91A">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.2对中小企业在资金支付期限方面的优惠措施：按《湖北省财政厅关于持续优化政府采购营商环境的通知》（鄂财采发〔202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号）执行。</w:t>
      </w:r>
    </w:p>
    <w:p w14:paraId="74960ED1">
      <w:pPr>
        <w:pStyle w:val="6"/>
        <w:numPr>
          <w:ilvl w:val="0"/>
          <w:numId w:val="12"/>
        </w:numPr>
        <w:spacing w:before="0" w:after="0"/>
        <w:ind w:left="0"/>
        <w:rPr>
          <w:rFonts w:hint="eastAsia"/>
          <w:color w:val="000000" w:themeColor="text1"/>
          <w14:textFill>
            <w14:solidFill>
              <w14:schemeClr w14:val="tx1"/>
            </w14:solidFill>
          </w14:textFill>
        </w:rPr>
      </w:pPr>
      <w:bookmarkStart w:id="278" w:name="_Toc200"/>
      <w:bookmarkStart w:id="279" w:name="_Toc8253"/>
      <w:r>
        <w:rPr>
          <w:rFonts w:hint="eastAsia"/>
          <w:color w:val="000000" w:themeColor="text1"/>
          <w14:textFill>
            <w14:solidFill>
              <w14:schemeClr w14:val="tx1"/>
            </w14:solidFill>
          </w14:textFill>
        </w:rPr>
        <w:t>政府采购节能产品、环境标志产品</w:t>
      </w:r>
      <w:bookmarkEnd w:id="278"/>
      <w:bookmarkEnd w:id="279"/>
    </w:p>
    <w:p w14:paraId="5CCC2960">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44</w:t>
      </w:r>
      <w:r>
        <w:rPr>
          <w:rFonts w:hint="eastAsia"/>
          <w:color w:val="000000" w:themeColor="text1"/>
          <w14:textFill>
            <w14:solidFill>
              <w14:schemeClr w14:val="tx1"/>
            </w14:solidFill>
          </w14:textFill>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color w:val="000000" w:themeColor="text1"/>
          <w14:textFill>
            <w14:solidFill>
              <w14:schemeClr w14:val="tx1"/>
            </w14:solidFill>
          </w14:textFill>
        </w:rPr>
        <w:t>已作为投标时强制性要求不再给予价格扣除</w:t>
      </w:r>
      <w:r>
        <w:rPr>
          <w:rFonts w:hint="eastAsia"/>
          <w:color w:val="000000" w:themeColor="text1"/>
          <w14:textFill>
            <w14:solidFill>
              <w14:schemeClr w14:val="tx1"/>
            </w14:solidFill>
          </w14:textFill>
        </w:rPr>
        <w:t>，未提供认证证书的视为</w:t>
      </w:r>
      <w:r>
        <w:rPr>
          <w:rFonts w:hint="eastAsia"/>
          <w:b/>
          <w:bCs/>
          <w:color w:val="000000" w:themeColor="text1"/>
          <w14:textFill>
            <w14:solidFill>
              <w14:schemeClr w14:val="tx1"/>
            </w14:solidFill>
          </w14:textFill>
        </w:rPr>
        <w:t>无效响应</w:t>
      </w:r>
      <w:r>
        <w:rPr>
          <w:rFonts w:hint="eastAsia"/>
          <w:color w:val="000000" w:themeColor="text1"/>
          <w14:textFill>
            <w14:solidFill>
              <w14:schemeClr w14:val="tx1"/>
            </w14:solidFill>
          </w14:textFill>
        </w:rPr>
        <w:t>。属于优先采购范围的，按照“投标人须知前附表”中相关规定，对该项产品的价格给予一定比例的扣除，具体扣除比例详见“投标人须知前附表”。</w:t>
      </w:r>
    </w:p>
    <w:p w14:paraId="7C545C9C">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80" w:name="_Toc16520"/>
      <w:bookmarkStart w:id="281" w:name="_Toc3106"/>
      <w:r>
        <w:rPr>
          <w:rFonts w:hint="eastAsia" w:ascii="等线" w:hAnsi="等线"/>
          <w:color w:val="000000" w:themeColor="text1"/>
          <w14:textFill>
            <w14:solidFill>
              <w14:schemeClr w14:val="tx1"/>
            </w14:solidFill>
          </w14:textFill>
        </w:rPr>
        <w:t>政府采购合同融资政策</w:t>
      </w:r>
      <w:bookmarkEnd w:id="272"/>
      <w:bookmarkEnd w:id="273"/>
      <w:bookmarkEnd w:id="280"/>
      <w:bookmarkEnd w:id="281"/>
    </w:p>
    <w:p w14:paraId="01B9641C">
      <w:pPr>
        <w:pStyle w:val="6"/>
        <w:numPr>
          <w:ilvl w:val="0"/>
          <w:numId w:val="12"/>
        </w:numPr>
        <w:spacing w:before="0" w:after="0"/>
        <w:ind w:left="0"/>
        <w:rPr>
          <w:rFonts w:hint="eastAsia"/>
          <w:color w:val="000000" w:themeColor="text1"/>
          <w14:textFill>
            <w14:solidFill>
              <w14:schemeClr w14:val="tx1"/>
            </w14:solidFill>
          </w14:textFill>
        </w:rPr>
      </w:pPr>
      <w:bookmarkStart w:id="282" w:name="_Toc19137"/>
      <w:bookmarkStart w:id="283" w:name="_Toc19265"/>
      <w:r>
        <w:rPr>
          <w:rFonts w:hint="eastAsia"/>
          <w:color w:val="000000" w:themeColor="text1"/>
          <w14:textFill>
            <w14:solidFill>
              <w14:schemeClr w14:val="tx1"/>
            </w14:solidFill>
          </w14:textFill>
        </w:rPr>
        <w:t>政府采购合同融资政策</w:t>
      </w:r>
      <w:bookmarkEnd w:id="282"/>
      <w:bookmarkEnd w:id="283"/>
    </w:p>
    <w:p w14:paraId="5E59BB2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1政府采购合同融资政策：见投标人须知前附表。</w:t>
      </w:r>
    </w:p>
    <w:p w14:paraId="63C5522E">
      <w:pPr>
        <w:pStyle w:val="5"/>
        <w:numPr>
          <w:ilvl w:val="0"/>
          <w:numId w:val="11"/>
        </w:numPr>
        <w:spacing w:before="0" w:after="0"/>
        <w:ind w:left="0"/>
        <w:rPr>
          <w:rFonts w:hint="eastAsia" w:ascii="等线" w:hAnsi="等线"/>
          <w:color w:val="000000" w:themeColor="text1"/>
          <w14:textFill>
            <w14:solidFill>
              <w14:schemeClr w14:val="tx1"/>
            </w14:solidFill>
          </w14:textFill>
        </w:rPr>
      </w:pPr>
      <w:bookmarkStart w:id="284" w:name="_Toc22380"/>
      <w:bookmarkStart w:id="285" w:name="_Toc7578"/>
      <w:r>
        <w:rPr>
          <w:rFonts w:hint="eastAsia" w:ascii="等线" w:hAnsi="等线"/>
          <w:color w:val="000000" w:themeColor="text1"/>
          <w14:textFill>
            <w14:solidFill>
              <w14:schemeClr w14:val="tx1"/>
            </w14:solidFill>
          </w14:textFill>
        </w:rPr>
        <w:t>其他</w:t>
      </w:r>
      <w:bookmarkEnd w:id="284"/>
      <w:bookmarkEnd w:id="285"/>
    </w:p>
    <w:p w14:paraId="613D726F">
      <w:pPr>
        <w:pStyle w:val="6"/>
        <w:numPr>
          <w:ilvl w:val="0"/>
          <w:numId w:val="12"/>
        </w:numPr>
        <w:spacing w:before="0" w:after="0"/>
        <w:ind w:left="0"/>
        <w:rPr>
          <w:rFonts w:hint="eastAsia"/>
          <w:color w:val="000000" w:themeColor="text1"/>
          <w14:textFill>
            <w14:solidFill>
              <w14:schemeClr w14:val="tx1"/>
            </w14:solidFill>
          </w14:textFill>
        </w:rPr>
      </w:pPr>
      <w:bookmarkStart w:id="286" w:name="_Toc7604"/>
      <w:bookmarkStart w:id="287" w:name="_Toc10626"/>
      <w:r>
        <w:rPr>
          <w:rFonts w:hint="eastAsia"/>
          <w:color w:val="000000" w:themeColor="text1"/>
          <w14:textFill>
            <w14:solidFill>
              <w14:schemeClr w14:val="tx1"/>
            </w14:solidFill>
          </w14:textFill>
        </w:rPr>
        <w:t>需要补充的其他内容</w:t>
      </w:r>
      <w:bookmarkEnd w:id="286"/>
      <w:bookmarkEnd w:id="287"/>
    </w:p>
    <w:p w14:paraId="1398CC2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6.1</w:t>
      </w:r>
      <w:r>
        <w:rPr>
          <w:rFonts w:hint="eastAsia"/>
          <w:color w:val="000000" w:themeColor="text1"/>
          <w14:textFill>
            <w14:solidFill>
              <w14:schemeClr w14:val="tx1"/>
            </w14:solidFill>
          </w14:textFill>
        </w:rPr>
        <w:t>需要补充的其他内容：见投标人须知前附表。</w:t>
      </w:r>
    </w:p>
    <w:p w14:paraId="33155371">
      <w:pPr>
        <w:pStyle w:val="6"/>
        <w:numPr>
          <w:ilvl w:val="0"/>
          <w:numId w:val="12"/>
        </w:numPr>
        <w:spacing w:before="0" w:after="0"/>
        <w:ind w:left="0"/>
        <w:rPr>
          <w:rFonts w:hint="eastAsia"/>
          <w:color w:val="000000" w:themeColor="text1"/>
          <w14:textFill>
            <w14:solidFill>
              <w14:schemeClr w14:val="tx1"/>
            </w14:solidFill>
          </w14:textFill>
        </w:rPr>
      </w:pPr>
      <w:bookmarkStart w:id="288" w:name="_Toc3048"/>
      <w:bookmarkStart w:id="289" w:name="_Toc5614"/>
      <w:bookmarkStart w:id="290" w:name="_Toc155185886"/>
      <w:bookmarkStart w:id="291" w:name="_Toc140132810"/>
      <w:r>
        <w:rPr>
          <w:rFonts w:hint="eastAsia"/>
          <w:color w:val="000000" w:themeColor="text1"/>
          <w14:textFill>
            <w14:solidFill>
              <w14:schemeClr w14:val="tx1"/>
            </w14:solidFill>
          </w14:textFill>
        </w:rPr>
        <w:t>适用法律</w:t>
      </w:r>
      <w:bookmarkEnd w:id="288"/>
      <w:bookmarkEnd w:id="289"/>
      <w:bookmarkEnd w:id="290"/>
      <w:bookmarkEnd w:id="291"/>
    </w:p>
    <w:p w14:paraId="7BAC711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7.1</w:t>
      </w:r>
      <w:r>
        <w:rPr>
          <w:rFonts w:hint="eastAsia"/>
          <w:color w:val="000000" w:themeColor="text1"/>
          <w14:textFill>
            <w14:solidFill>
              <w14:schemeClr w14:val="tx1"/>
            </w14:solidFill>
          </w14:textFill>
        </w:rPr>
        <w:t>采购人、采购代理机构及投标人的一切采购活动均适用《中华人民共和国政府采购法》、《中华人民共和国政府采购法实施条例》、《政府采购货物和服务招标投标管理办法》（财政部令第87号）及相关法律法规。</w:t>
      </w:r>
    </w:p>
    <w:p w14:paraId="50924E1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7.2</w:t>
      </w:r>
      <w:r>
        <w:rPr>
          <w:rFonts w:hint="eastAsia"/>
          <w:color w:val="000000" w:themeColor="text1"/>
          <w14:textFill>
            <w14:solidFill>
              <w14:schemeClr w14:val="tx1"/>
            </w14:solidFill>
          </w14:textFill>
        </w:rPr>
        <w:t>政府采购合同的履行、违约责任和解决争议的方法等适用《中华人民共和国民法典》。</w:t>
      </w:r>
    </w:p>
    <w:p w14:paraId="5B6AF06F">
      <w:pPr>
        <w:pStyle w:val="6"/>
        <w:numPr>
          <w:ilvl w:val="0"/>
          <w:numId w:val="12"/>
        </w:numPr>
        <w:spacing w:before="0" w:after="0"/>
        <w:ind w:left="0"/>
        <w:rPr>
          <w:rFonts w:hint="eastAsia"/>
          <w:color w:val="000000" w:themeColor="text1"/>
          <w14:textFill>
            <w14:solidFill>
              <w14:schemeClr w14:val="tx1"/>
            </w14:solidFill>
          </w14:textFill>
        </w:rPr>
      </w:pPr>
      <w:bookmarkStart w:id="292" w:name="_Toc14833"/>
      <w:bookmarkStart w:id="293" w:name="_Toc155185887"/>
      <w:bookmarkStart w:id="294" w:name="_Toc1999"/>
      <w:r>
        <w:rPr>
          <w:rFonts w:hint="eastAsia"/>
          <w:color w:val="000000" w:themeColor="text1"/>
          <w14:textFill>
            <w14:solidFill>
              <w14:schemeClr w14:val="tx1"/>
            </w14:solidFill>
          </w14:textFill>
        </w:rPr>
        <w:t>解释权</w:t>
      </w:r>
      <w:bookmarkEnd w:id="292"/>
      <w:bookmarkEnd w:id="293"/>
      <w:bookmarkEnd w:id="294"/>
    </w:p>
    <w:p w14:paraId="680C4EFD">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1本招标文件最终解释权归采购人或采购代理机构所有。</w:t>
      </w:r>
    </w:p>
    <w:p w14:paraId="088AD7DE">
      <w:pPr>
        <w:pStyle w:val="91"/>
        <w:wordWrap/>
        <w:rPr>
          <w:rFonts w:hint="eastAsia"/>
          <w:color w:val="000000" w:themeColor="text1"/>
          <w14:textFill>
            <w14:solidFill>
              <w14:schemeClr w14:val="tx1"/>
            </w14:solidFill>
          </w14:textFill>
        </w:rPr>
      </w:pPr>
    </w:p>
    <w:p w14:paraId="3A098DF6">
      <w:pPr>
        <w:pStyle w:val="91"/>
        <w:wordWrap/>
        <w:rPr>
          <w:rFonts w:hint="eastAsia"/>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6DD2A566">
      <w:pPr>
        <w:pStyle w:val="3"/>
        <w:spacing w:before="0" w:after="0"/>
        <w:rPr>
          <w:rFonts w:hint="eastAsia"/>
          <w:color w:val="000000" w:themeColor="text1"/>
          <w14:textFill>
            <w14:solidFill>
              <w14:schemeClr w14:val="tx1"/>
            </w14:solidFill>
          </w14:textFill>
        </w:rPr>
      </w:pPr>
      <w:bookmarkStart w:id="295" w:name="_Toc163401711"/>
      <w:bookmarkStart w:id="296" w:name="_Toc117244366"/>
      <w:bookmarkStart w:id="297" w:name="_Toc12076"/>
      <w:bookmarkStart w:id="298" w:name="_Toc117244481"/>
      <w:bookmarkStart w:id="299" w:name="_Toc155185895"/>
      <w:r>
        <w:rPr>
          <w:rFonts w:hint="eastAsia"/>
          <w:color w:val="000000" w:themeColor="text1"/>
          <w14:textFill>
            <w14:solidFill>
              <w14:schemeClr w14:val="tx1"/>
            </w14:solidFill>
          </w14:textFill>
        </w:rPr>
        <w:t>第三章 采购需求</w:t>
      </w:r>
      <w:bookmarkEnd w:id="295"/>
      <w:bookmarkEnd w:id="296"/>
      <w:bookmarkEnd w:id="297"/>
      <w:bookmarkEnd w:id="298"/>
    </w:p>
    <w:p w14:paraId="1C8E05B8">
      <w:pPr>
        <w:ind w:firstLine="482" w:firstLineChars="200"/>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说明</w:t>
      </w:r>
      <w:r>
        <w:rPr>
          <w:rFonts w:hint="eastAsia"/>
          <w:color w:val="000000" w:themeColor="text1"/>
          <w14:textFill>
            <w14:solidFill>
              <w14:schemeClr w14:val="tx1"/>
            </w14:solidFill>
          </w14:textFill>
        </w:rPr>
        <w:t>：“★”号标注的内容为实质性要求，必须满足或优于该要求，否则按照</w:t>
      </w:r>
      <w:r>
        <w:rPr>
          <w:rFonts w:hint="eastAsia"/>
          <w:b/>
          <w:bCs/>
          <w:color w:val="000000" w:themeColor="text1"/>
          <w14:textFill>
            <w14:solidFill>
              <w14:schemeClr w14:val="tx1"/>
            </w14:solidFill>
          </w14:textFill>
        </w:rPr>
        <w:t>无效响应处理</w:t>
      </w:r>
      <w:r>
        <w:rPr>
          <w:rFonts w:hint="eastAsia"/>
          <w:color w:val="000000" w:themeColor="text1"/>
          <w14:textFill>
            <w14:solidFill>
              <w14:schemeClr w14:val="tx1"/>
            </w14:solidFill>
          </w14:textFill>
        </w:rPr>
        <w:t>。</w:t>
      </w:r>
    </w:p>
    <w:p w14:paraId="18796957">
      <w:pPr>
        <w:rPr>
          <w:rFonts w:hint="eastAsia"/>
          <w:color w:val="000000" w:themeColor="text1"/>
          <w14:textFill>
            <w14:solidFill>
              <w14:schemeClr w14:val="tx1"/>
            </w14:solidFill>
          </w14:textFill>
        </w:rPr>
      </w:pPr>
    </w:p>
    <w:p w14:paraId="562463A1">
      <w:pPr>
        <w:spacing w:line="470" w:lineRule="exact"/>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一、项目概况</w:t>
      </w:r>
    </w:p>
    <w:p w14:paraId="6C538987">
      <w:pPr>
        <w:pStyle w:val="74"/>
        <w:spacing w:before="0" w:beforeAutospacing="0" w:after="0" w:afterAutospacing="0" w:line="470" w:lineRule="exact"/>
        <w:ind w:firstLine="544" w:firstLineChars="200"/>
        <w:rPr>
          <w:rFonts w:hint="eastAsia" w:eastAsia="宋体" w:cs="黑体"/>
          <w:color w:val="000000" w:themeColor="text1"/>
          <w:spacing w:val="6"/>
          <w:kern w:val="2"/>
          <w:sz w:val="26"/>
          <w:szCs w:val="26"/>
          <w:lang w:eastAsia="zh-CN"/>
          <w14:textFill>
            <w14:solidFill>
              <w14:schemeClr w14:val="tx1"/>
            </w14:solidFill>
          </w14:textFill>
        </w:rPr>
      </w:pPr>
      <w:r>
        <w:rPr>
          <w:rFonts w:hint="eastAsia" w:cs="黑体"/>
          <w:color w:val="000000" w:themeColor="text1"/>
          <w:spacing w:val="6"/>
          <w:kern w:val="2"/>
          <w:sz w:val="26"/>
          <w:szCs w:val="26"/>
          <w14:textFill>
            <w14:solidFill>
              <w14:schemeClr w14:val="tx1"/>
            </w14:solidFill>
          </w14:textFill>
        </w:rPr>
        <w:t>1、项目名称：</w:t>
      </w:r>
      <w:r>
        <w:rPr>
          <w:rFonts w:hint="eastAsia" w:cs="黑体"/>
          <w:color w:val="000000" w:themeColor="text1"/>
          <w:spacing w:val="6"/>
          <w:kern w:val="2"/>
          <w:sz w:val="26"/>
          <w:szCs w:val="26"/>
          <w:lang w:eastAsia="zh-CN"/>
          <w14:textFill>
            <w14:solidFill>
              <w14:schemeClr w14:val="tx1"/>
            </w14:solidFill>
          </w14:textFill>
        </w:rPr>
        <w:t>军马场学校初中部新建项目智慧校园设备采购（二次）包4校园数字广播、灯光、音响、舞台设备、移动直播设备</w:t>
      </w:r>
    </w:p>
    <w:p w14:paraId="79A430F7">
      <w:pPr>
        <w:widowControl/>
        <w:topLinePunct/>
        <w:adjustRightInd w:val="0"/>
        <w:snapToGrid w:val="0"/>
        <w:spacing w:line="470" w:lineRule="exact"/>
        <w:ind w:firstLine="544" w:firstLineChars="200"/>
        <w:rPr>
          <w:rFonts w:hint="eastAsia"/>
          <w:color w:val="000000" w:themeColor="text1"/>
          <w:spacing w:val="6"/>
          <w:sz w:val="26"/>
          <w:szCs w:val="26"/>
          <w14:textFill>
            <w14:solidFill>
              <w14:schemeClr w14:val="tx1"/>
            </w14:solidFill>
          </w14:textFill>
        </w:rPr>
      </w:pPr>
      <w:r>
        <w:rPr>
          <w:rFonts w:hint="eastAsia"/>
          <w:color w:val="000000" w:themeColor="text1"/>
          <w:spacing w:val="6"/>
          <w:sz w:val="26"/>
          <w:szCs w:val="26"/>
          <w14:textFill>
            <w14:solidFill>
              <w14:schemeClr w14:val="tx1"/>
            </w14:solidFill>
          </w14:textFill>
        </w:rPr>
        <w:t>2、项目工期：自合同签订之日起45日历天完成调试，并通过验收</w:t>
      </w:r>
    </w:p>
    <w:p w14:paraId="791BB9C2">
      <w:pPr>
        <w:widowControl/>
        <w:topLinePunct/>
        <w:adjustRightInd w:val="0"/>
        <w:snapToGrid w:val="0"/>
        <w:spacing w:line="470" w:lineRule="exact"/>
        <w:ind w:firstLine="544" w:firstLineChars="200"/>
        <w:rPr>
          <w:rFonts w:hint="eastAsia"/>
          <w:color w:val="000000" w:themeColor="text1"/>
          <w:spacing w:val="6"/>
          <w:sz w:val="26"/>
          <w:szCs w:val="26"/>
          <w14:textFill>
            <w14:solidFill>
              <w14:schemeClr w14:val="tx1"/>
            </w14:solidFill>
          </w14:textFill>
        </w:rPr>
      </w:pPr>
      <w:r>
        <w:rPr>
          <w:rFonts w:hint="eastAsia"/>
          <w:color w:val="000000" w:themeColor="text1"/>
          <w:spacing w:val="6"/>
          <w:sz w:val="26"/>
          <w:szCs w:val="26"/>
          <w14:textFill>
            <w14:solidFill>
              <w14:schemeClr w14:val="tx1"/>
            </w14:solidFill>
          </w14:textFill>
        </w:rPr>
        <w:t>3、项目基本情况：本包段包括广播中心机房主控设备、阶梯教室音响系统、前端设备、小会议室音响系统，详细参数及数量见“采购标的数量及技术要求”。</w:t>
      </w:r>
    </w:p>
    <w:p w14:paraId="6BB76DF1">
      <w:pPr>
        <w:widowControl/>
        <w:topLinePunct/>
        <w:adjustRightInd w:val="0"/>
        <w:snapToGrid w:val="0"/>
        <w:spacing w:line="470" w:lineRule="exact"/>
        <w:ind w:firstLine="544" w:firstLineChars="200"/>
        <w:rPr>
          <w:rFonts w:hint="eastAsia"/>
          <w:color w:val="000000" w:themeColor="text1"/>
          <w:spacing w:val="6"/>
          <w:sz w:val="26"/>
          <w:szCs w:val="26"/>
          <w14:textFill>
            <w14:solidFill>
              <w14:schemeClr w14:val="tx1"/>
            </w14:solidFill>
          </w14:textFill>
        </w:rPr>
      </w:pPr>
      <w:r>
        <w:rPr>
          <w:rFonts w:hint="eastAsia"/>
          <w:color w:val="000000" w:themeColor="text1"/>
          <w:spacing w:val="6"/>
          <w:sz w:val="26"/>
          <w:szCs w:val="26"/>
          <w14:textFill>
            <w14:solidFill>
              <w14:schemeClr w14:val="tx1"/>
            </w14:solidFill>
          </w14:textFill>
        </w:rPr>
        <w:t>4、项目预算：284.7万元</w:t>
      </w:r>
    </w:p>
    <w:p w14:paraId="1ECD79BB">
      <w:pPr>
        <w:widowControl/>
        <w:topLinePunct/>
        <w:adjustRightInd w:val="0"/>
        <w:snapToGrid w:val="0"/>
        <w:spacing w:line="470" w:lineRule="exact"/>
        <w:ind w:firstLine="544" w:firstLineChars="200"/>
        <w:rPr>
          <w:rFonts w:hint="eastAsia"/>
          <w:color w:val="000000" w:themeColor="text1"/>
          <w:spacing w:val="6"/>
          <w:sz w:val="26"/>
          <w:szCs w:val="26"/>
          <w14:textFill>
            <w14:solidFill>
              <w14:schemeClr w14:val="tx1"/>
            </w14:solidFill>
          </w14:textFill>
        </w:rPr>
      </w:pPr>
      <w:r>
        <w:rPr>
          <w:rFonts w:hint="eastAsia"/>
          <w:color w:val="000000" w:themeColor="text1"/>
          <w:spacing w:val="6"/>
          <w:sz w:val="26"/>
          <w:szCs w:val="26"/>
          <w14:textFill>
            <w14:solidFill>
              <w14:schemeClr w14:val="tx1"/>
            </w14:solidFill>
          </w14:textFill>
        </w:rPr>
        <w:t>5、最高限价：284.7万元（响应文件报价不得超过最高限价，超过最高限价的，视为不响应招标文件的实质性要求，作废标处理。）、</w:t>
      </w:r>
    </w:p>
    <w:p w14:paraId="7F305550">
      <w:pPr>
        <w:pStyle w:val="70"/>
        <w:rPr>
          <w:rFonts w:hint="eastAsia"/>
          <w:color w:val="000000" w:themeColor="text1"/>
          <w:sz w:val="44"/>
          <w:szCs w:val="44"/>
          <w14:textFill>
            <w14:solidFill>
              <w14:schemeClr w14:val="tx1"/>
            </w14:solidFill>
          </w14:textFill>
        </w:rPr>
      </w:pPr>
      <w:r>
        <w:rPr>
          <w:rFonts w:hint="eastAsia" w:ascii="黑体" w:hAnsi="黑体" w:eastAsia="黑体" w:cs="黑体"/>
          <w:b/>
          <w:bCs/>
          <w:color w:val="000000" w:themeColor="text1"/>
          <w:spacing w:val="-6"/>
          <w:sz w:val="28"/>
          <w:szCs w:val="28"/>
          <w14:textFill>
            <w14:solidFill>
              <w14:schemeClr w14:val="tx1"/>
            </w14:solidFill>
          </w14:textFill>
        </w:rPr>
        <w:t>二、</w:t>
      </w:r>
      <w:r>
        <w:rPr>
          <w:rFonts w:ascii="黑体" w:hAnsi="黑体" w:eastAsia="黑体" w:cs="黑体"/>
          <w:b/>
          <w:bCs/>
          <w:color w:val="000000" w:themeColor="text1"/>
          <w:spacing w:val="-6"/>
          <w:sz w:val="28"/>
          <w:szCs w:val="28"/>
          <w14:textFill>
            <w14:solidFill>
              <w14:schemeClr w14:val="tx1"/>
            </w14:solidFill>
          </w14:textFill>
        </w:rPr>
        <w:t>采购标的</w:t>
      </w:r>
      <w:r>
        <w:rPr>
          <w:rFonts w:hint="eastAsia" w:ascii="黑体" w:hAnsi="黑体" w:eastAsia="黑体" w:cs="黑体"/>
          <w:b/>
          <w:bCs/>
          <w:color w:val="000000" w:themeColor="text1"/>
          <w:spacing w:val="-6"/>
          <w:sz w:val="28"/>
          <w:szCs w:val="28"/>
          <w14:textFill>
            <w14:solidFill>
              <w14:schemeClr w14:val="tx1"/>
            </w14:solidFill>
          </w14:textFill>
        </w:rPr>
        <w:t>数量及技术要求</w:t>
      </w:r>
    </w:p>
    <w:p w14:paraId="07F189FA">
      <w:pPr>
        <w:rPr>
          <w:rFonts w:hint="eastAsia"/>
          <w:color w:val="000000" w:themeColor="text1"/>
          <w14:textFill>
            <w14:solidFill>
              <w14:schemeClr w14:val="tx1"/>
            </w14:solidFill>
          </w14:textFill>
        </w:rPr>
      </w:pPr>
    </w:p>
    <w:p w14:paraId="7CE4C526">
      <w:pPr>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校园数字广播清单</w:t>
      </w:r>
    </w:p>
    <w:tbl>
      <w:tblPr>
        <w:tblStyle w:val="81"/>
        <w:tblW w:w="5580" w:type="pct"/>
        <w:tblInd w:w="0" w:type="dxa"/>
        <w:tblLayout w:type="fixed"/>
        <w:tblCellMar>
          <w:top w:w="0" w:type="dxa"/>
          <w:left w:w="108" w:type="dxa"/>
          <w:bottom w:w="0" w:type="dxa"/>
          <w:right w:w="108" w:type="dxa"/>
        </w:tblCellMar>
      </w:tblPr>
      <w:tblGrid>
        <w:gridCol w:w="1026"/>
        <w:gridCol w:w="1691"/>
        <w:gridCol w:w="5724"/>
        <w:gridCol w:w="763"/>
        <w:gridCol w:w="1110"/>
      </w:tblGrid>
      <w:tr w14:paraId="1A99F4D6">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nil"/>
              <w:right w:val="single" w:color="000000" w:sz="4" w:space="0"/>
            </w:tcBorders>
            <w:noWrap/>
            <w:vAlign w:val="center"/>
          </w:tcPr>
          <w:p w14:paraId="14FFA1F1">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序号</w:t>
            </w:r>
          </w:p>
        </w:tc>
        <w:tc>
          <w:tcPr>
            <w:tcW w:w="820" w:type="pct"/>
            <w:tcBorders>
              <w:top w:val="single" w:color="000000" w:sz="4" w:space="0"/>
              <w:left w:val="single" w:color="000000" w:sz="4" w:space="0"/>
              <w:bottom w:val="nil"/>
              <w:right w:val="single" w:color="000000" w:sz="4" w:space="0"/>
            </w:tcBorders>
            <w:noWrap/>
            <w:vAlign w:val="center"/>
          </w:tcPr>
          <w:p w14:paraId="609F2346">
            <w:pPr>
              <w:widowControl/>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产品名称</w:t>
            </w:r>
          </w:p>
        </w:tc>
        <w:tc>
          <w:tcPr>
            <w:tcW w:w="2775" w:type="pct"/>
            <w:tcBorders>
              <w:top w:val="single" w:color="000000" w:sz="4" w:space="0"/>
              <w:left w:val="single" w:color="000000" w:sz="4" w:space="0"/>
              <w:bottom w:val="nil"/>
              <w:right w:val="single" w:color="000000" w:sz="4" w:space="0"/>
            </w:tcBorders>
            <w:noWrap/>
            <w:vAlign w:val="center"/>
          </w:tcPr>
          <w:p w14:paraId="479305A8">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产品规格</w:t>
            </w:r>
          </w:p>
        </w:tc>
        <w:tc>
          <w:tcPr>
            <w:tcW w:w="370" w:type="pct"/>
            <w:tcBorders>
              <w:top w:val="single" w:color="000000" w:sz="4" w:space="0"/>
              <w:left w:val="single" w:color="000000" w:sz="4" w:space="0"/>
              <w:bottom w:val="nil"/>
              <w:right w:val="single" w:color="000000" w:sz="4" w:space="0"/>
            </w:tcBorders>
            <w:noWrap/>
            <w:vAlign w:val="center"/>
          </w:tcPr>
          <w:p w14:paraId="4F1766D4">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数量</w:t>
            </w:r>
          </w:p>
        </w:tc>
        <w:tc>
          <w:tcPr>
            <w:tcW w:w="536" w:type="pct"/>
            <w:tcBorders>
              <w:top w:val="single" w:color="000000" w:sz="4" w:space="0"/>
              <w:left w:val="single" w:color="000000" w:sz="4" w:space="0"/>
              <w:bottom w:val="nil"/>
              <w:right w:val="single" w:color="000000" w:sz="4" w:space="0"/>
            </w:tcBorders>
            <w:noWrap/>
            <w:vAlign w:val="center"/>
          </w:tcPr>
          <w:p w14:paraId="60AB200C">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单位</w:t>
            </w:r>
          </w:p>
        </w:tc>
      </w:tr>
      <w:tr w14:paraId="499875EB">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710796B4">
            <w:pPr>
              <w:jc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一、广播中心机房主控设备</w:t>
            </w:r>
          </w:p>
        </w:tc>
      </w:tr>
      <w:tr w14:paraId="78365F65">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3099FFD6">
            <w:pP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主机服务器</w:t>
            </w:r>
          </w:p>
        </w:tc>
        <w:tc>
          <w:tcPr>
            <w:tcW w:w="2775" w:type="pct"/>
            <w:tcBorders>
              <w:top w:val="single" w:color="000000" w:sz="4" w:space="0"/>
              <w:left w:val="single" w:color="000000" w:sz="4" w:space="0"/>
              <w:bottom w:val="single" w:color="000000" w:sz="4" w:space="0"/>
              <w:right w:val="single" w:color="000000" w:sz="4" w:space="0"/>
            </w:tcBorders>
            <w:noWrap/>
            <w:vAlign w:val="center"/>
          </w:tcPr>
          <w:p w14:paraId="483DE4B8">
            <w:pPr>
              <w:rPr>
                <w:rFonts w:hint="eastAsia" w:cs="宋体"/>
                <w:b/>
                <w:bCs/>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E46DF31">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5F7BB7B">
            <w:pPr>
              <w:jc w:val="center"/>
              <w:rPr>
                <w:rFonts w:hint="eastAsia" w:cs="宋体"/>
                <w:b/>
                <w:bCs/>
                <w:color w:val="000000" w:themeColor="text1"/>
                <w:szCs w:val="21"/>
                <w14:textFill>
                  <w14:solidFill>
                    <w14:schemeClr w14:val="tx1"/>
                  </w14:solidFill>
                </w14:textFill>
              </w:rPr>
            </w:pPr>
          </w:p>
        </w:tc>
      </w:tr>
      <w:tr w14:paraId="0BDC9281">
        <w:tblPrEx>
          <w:tblCellMar>
            <w:top w:w="0" w:type="dxa"/>
            <w:left w:w="108" w:type="dxa"/>
            <w:bottom w:w="0" w:type="dxa"/>
            <w:right w:w="108" w:type="dxa"/>
          </w:tblCellMar>
        </w:tblPrEx>
        <w:trPr>
          <w:trHeight w:val="262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CBF238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24FC1F9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控制主机</w:t>
            </w:r>
          </w:p>
        </w:tc>
        <w:tc>
          <w:tcPr>
            <w:tcW w:w="2775" w:type="pct"/>
            <w:tcBorders>
              <w:top w:val="single" w:color="000000" w:sz="4" w:space="0"/>
              <w:left w:val="nil"/>
              <w:bottom w:val="single" w:color="000000" w:sz="4" w:space="0"/>
              <w:right w:val="single" w:color="000000" w:sz="4" w:space="0"/>
            </w:tcBorders>
            <w:vAlign w:val="center"/>
          </w:tcPr>
          <w:p w14:paraId="6933B73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1.显示屏尺寸： 不小于15英寸</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2.屏幕颜色：TFT262144色真彩色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3.显示屏：17.3〞高分辨率LED液晶屏(1920*1080)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4.触摸屏：10点电容触摸屏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5.工作环境温度：-10℃~50℃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6.相对湿度：10%～95%，非凝结状态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7.标准接口： HDMI接口， DVI接口， VGA接口； LAN接口； COM接口； USB接口； MIC IN接口， LINE OUT接口， LINE IN接口； PS/2接口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8.存储：支持3.5"、2.5"、mSATA硬盘；标配:mSATA 128G</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9.内存：8G</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10.网卡：2个Realtek GbE，1000M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11.网络协议：支持IPV6、IPV4网络协议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12.CPU：4核 4线程 3.2GHz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13.系统音频信号信噪比：LINE:70dB；MIC:60dB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14.系统音频信号失真度：1kHz＜0.5%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15.系统音频信号标准输入电平：LINE:300mV；MIC:5mV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16.系统音频信号标准输出电平：0dBV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17.电源：输入电压:AC100V-240V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18.软件操作平台：Windows Server 2008 R2 Standard(x64)，Windows Server 2012 R2 Standard(x64)及以上</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19.功耗：120W</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8AB146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A8E969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63A658E">
        <w:tblPrEx>
          <w:tblCellMar>
            <w:top w:w="0" w:type="dxa"/>
            <w:left w:w="108" w:type="dxa"/>
            <w:bottom w:w="0" w:type="dxa"/>
            <w:right w:w="108" w:type="dxa"/>
          </w:tblCellMar>
        </w:tblPrEx>
        <w:trPr>
          <w:trHeight w:val="10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C326CD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64355AA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数字化IP网络广播客户端管理软件</w:t>
            </w:r>
          </w:p>
        </w:tc>
        <w:tc>
          <w:tcPr>
            <w:tcW w:w="2775" w:type="pct"/>
            <w:tcBorders>
              <w:top w:val="single" w:color="000000" w:sz="4" w:space="0"/>
              <w:left w:val="nil"/>
              <w:bottom w:val="single" w:color="000000" w:sz="4" w:space="0"/>
              <w:right w:val="single" w:color="000000" w:sz="4" w:space="0"/>
            </w:tcBorders>
            <w:vAlign w:val="center"/>
          </w:tcPr>
          <w:p w14:paraId="7B256AA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1.软件是整个系统的运行核心，统一管理系统内所有音频终端，包括寻呼话筒、对讲终端、广播终端和消防接口设备，实时显示音频终端的IP地址、在线状态、任务状态、音量等运行状态。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3.管理节目库资源，为所有音频终端器提供定时播放和实时点播媒体服务，响应各终端的节目播放请求，为各音频工作站提供数据接口服务。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4.提供全双工语音数据交换，响应各对讲终端的呼叫和通话请求，支持一键呼叫、一键对讲、一键求助、一键报警等通话模式，支持自动接听、手动接听，支持自定义接听提示音。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6.支持终端短路输入联动触发，可任意设置联动触发方案和触发终端数量，触发方案包括短路输出、音乐播放、巡更警报等。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7.编程定时任务，支持编程多套定时方案，支持选择任意终端和设置任意时间；支持定时任务执行测试、设置重复周期。支持定时任务多种音源选择（音乐播放、声卡采集、终端采集）。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8.支持多套定时打铃方案同时启用，每套定时打铃方案支持多套任务同时进行，支持一键启用/停用所有方案。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9.支持定时打铃功能，支持打铃方案克隆，任务执行与停止控制、定时任务禁用与启用功能。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10.支持定时巡更功能，支持自定义巡更任务的执行时间及重复周期，可自定义指示灯闪烁间隔时间0-30s。支持外接无锁按键短路开关（带3.3V的LED提示灯）。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11.支持今日任务列表查看，轻松管理今日执行的所有定时任务信息和执行状态。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12.支持终端防拆报警，终端拆卸触发警报或其他终端联动触发警报；支持报警任务自动解除报警功能。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13.支持音频终端外控电源管理，支持定时打开和延时关闭；支持对灯光控制功能，可对灯光模式进行配置。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14.支持全区、分区消防联动，支持消防N±N模式，支持人工报警与数字报警。支持配置报警器触发终端采集任务。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15.支持统一管理终端登陆密码，支持多级优先级管理，并支持轻松自动授权。支持4x100级自定义配置任务优先级(服务器优先级、任务优先级、用户优先级,终端优先级），满足各种优先级任务自动调度。</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16.支持多用户、任意级别的分控管理，实现远程节目播放管理。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17.支持多用户、多级别、指定权限、指定功能、指定终端对后台进行分类管理。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18.支持终端3、4制音控强切功能，（4线制音控需外接电源）。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19.网络广播系统支持IPV6、IPV4网络协议，可实现基于IPV6网络的终端广播、定时任务播放、远程喊话、对讲功能。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20.支持对8路功率分区终端进行功率控制分区设置，通过web页面后台或分控客户端均可轻松设置分区。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21.支持对终端设置时间显示配置，可设置1-6级别亮度值，可设置断网后不显示时间等模式。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22.支持对终端设置不同的灯光模式，可分别自定义设置红灯亮、红灯灭、绿灯/蓝灯亮、绿灯/蓝灯灭时间0-10S。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23.支持配置终端冻结时间，在终端被冻结期间禁止终端执行任务，适用于考试或休息等场景。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24.支持广播、对讲、实时采集、终端监听进行录音。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25.支持远程遥控点播功能，实现操场远程遥控点播。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26.支持终端音频采播功能，实现听力考试语音文件采播。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27.支持本地音频采集功能，播放到任意指定终端。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28.支持离线定时打铃功能，实现断网时终端托管执行定时打铃任务；支持定时打铃任务离线下载。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29.支持设置节假日或特殊日期，实现指定时间停用所有定时任务。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30.支持广播接收方提示音，广播接收方响应广播任务时，加入“叮咚”提示音。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31.扩展支持电话广播功能，实现电话发起全区广播、分区广播、终端对讲的功能。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32.支持文本广播功能，可实现将文本转成语音，支持后台调整语速、设置播放语音功能。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33.支持配置指定终端在指定时间段内启用考试模式，考试模式下，数模备份能进行相互切换，支持一键结束所有设备的考试模式。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34.支持对终端进行远程固件升级，无需到终端本地升级，减轻维护人员工作强度。</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35.支持后台换肤功能，可根据喜好自由切换皮肤主题。</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36.支持多语言功能，支持中文、繁体中文、英文、韩文等。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37.支持终端明细导出功能，支持通过表格方式导出当前系统终端的配置详情，为系统管理带来方便。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38.支持批量修改定时任务的时间、音量、执行终端。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39.扩展支持手机移动端WIFI点播、广播、对讲功能，兼容Android和IOS系统手机APP进行操作。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40.支持提供二次软件开发包、提供标准MFC动态链接库和HTTP协议，实现与第三方平台整合。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41.支持对接高精准基于GPS的定时系统，可脱离因特网独立进行广播系统授时，使得系统时间误差每年小于1/300000秒。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42.支持电子地图功能，在地图/导览图上可实时查看终端状态。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43.支持在线地图功能，可直接使用百度地图实现在地图上实时查看终端状态。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44.支持终端自定义区域划分，实现对终端的实时状态分区域管理。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45.日志记录系统运行状态，实时记录系统运行及终端工作状态，每次呼叫、通话和广播操作均有记录。</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46.支持媒体文件分类分用户管理，可配置公有/私有文件夹，私有文件单独使用。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47.系统兼容路由器、交换机、网桥网关、Modem、Internet、2G、3G、4G等任意网络结构。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48.Windows服务模式，支持win7、server2008及更高版本系统。</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49.采用后台系统服务运行，是企业级的标准服务器工作模式，开机系统即可自动运行，相比运行在界面前台的软件具有更高的稳定性和可靠性。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50.支持显示屏任务功能，设置LED显示屏信息发布功能。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51.支持声文广播功能，可以终端同时播放声音，发布文字信息，支持LED显示屏信息发布功能，数字时钟及模拟时钟选择功能，具备显示字体大小，字体调节，显示引入，引出、停留方式、停留时间等选择。</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52.支持终端的上/下线状态以及占用状态进行实时监控，实时管理终端音量和当前任务；也可自定义终端分区，按区域划分管理终端状态，方便直观。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53.支持定期插播模式,批量自动生成打铃任务,无需逐条编辑,简便轻松。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54.支持SIP广播进行分区广播或全区广播；支持高考专用模式及独立考试模式，配合离线播放功能把预设考试内容推送到终端内置储存器，实现断网也能本地播放。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55.支持中控终端临时任务、定时任务、场景调用管理。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56.支持展示服务器时间（年月日 时分秒）。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57.支持设置广播超时自动挂断和对讲超时自动挂断功能，默认为0不限制会话时间，设置后按照规定时间自动结束任务。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58.支持自定义登录界面背景，同时支持恢复默认登录界面。</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59.支持开启音频高码率功能，开启后使用高音质采集且网络带宽占用较大。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60.后台功能管理模块自定义；首页快捷入口配置，入口数量提供2*3、3*3、2*4、3*4的排列布局显示。</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FC462C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E29D26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21C79104">
        <w:tblPrEx>
          <w:tblCellMar>
            <w:top w:w="0" w:type="dxa"/>
            <w:left w:w="108" w:type="dxa"/>
            <w:bottom w:w="0" w:type="dxa"/>
            <w:right w:w="108" w:type="dxa"/>
          </w:tblCellMar>
        </w:tblPrEx>
        <w:trPr>
          <w:trHeight w:val="5054"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5C5BDD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0008975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控制器</w:t>
            </w:r>
          </w:p>
        </w:tc>
        <w:tc>
          <w:tcPr>
            <w:tcW w:w="2775" w:type="pct"/>
            <w:tcBorders>
              <w:top w:val="single" w:color="000000" w:sz="4" w:space="0"/>
              <w:left w:val="nil"/>
              <w:bottom w:val="single" w:color="000000" w:sz="4" w:space="0"/>
              <w:right w:val="single" w:color="000000" w:sz="4" w:space="0"/>
            </w:tcBorders>
            <w:vAlign w:val="center"/>
          </w:tcPr>
          <w:p w14:paraId="4AB96244">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3.支持协议：TCP/IP，UDP，IGMP(组播)，IETF SIP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4.电源：~190V-240V 50Hz-60Hz；DC24V/1A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5.功耗：20W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6.待机功率：＜3W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7.工作温度：5℃～40℃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8.工作湿度：20%～80%相对湿度，无结露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9.网络接入方式，DHCP自动分配接入、ADSL智能拨号接入、固定IP地址接入等。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10.自动实现卫星自动校时，使用地球同步卫星作为校时基准，与格林威治时间误差小于0.1秒。</w:t>
            </w:r>
          </w:p>
          <w:p w14:paraId="0986584B">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11.支持与公共广播系统对接作为校时系统，保障公共广播系统和定时任务准确性。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12.系统带北斗卫星导航系统（BDS）+GPS卫星定位系统两大定位系统，可以实现后台远程切换两个不同系统。</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13.可设定为自动获取IP地址功能。</w:t>
            </w:r>
          </w:p>
        </w:tc>
        <w:tc>
          <w:tcPr>
            <w:tcW w:w="370" w:type="pct"/>
            <w:tcBorders>
              <w:top w:val="single" w:color="000000" w:sz="4" w:space="0"/>
              <w:left w:val="single" w:color="000000" w:sz="4" w:space="0"/>
              <w:bottom w:val="single" w:color="000000" w:sz="4" w:space="0"/>
              <w:right w:val="single" w:color="000000" w:sz="4" w:space="0"/>
            </w:tcBorders>
            <w:vAlign w:val="center"/>
          </w:tcPr>
          <w:p w14:paraId="0442639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FE2029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018817FE">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0A41ACEA">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音源设备</w:t>
            </w:r>
          </w:p>
        </w:tc>
        <w:tc>
          <w:tcPr>
            <w:tcW w:w="2775" w:type="pct"/>
            <w:tcBorders>
              <w:top w:val="single" w:color="000000" w:sz="4" w:space="0"/>
              <w:left w:val="nil"/>
              <w:bottom w:val="single" w:color="000000" w:sz="4" w:space="0"/>
              <w:right w:val="single" w:color="000000" w:sz="4" w:space="0"/>
            </w:tcBorders>
            <w:vAlign w:val="center"/>
          </w:tcPr>
          <w:p w14:paraId="38E75D2F">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61FB560">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66B7785C">
            <w:pPr>
              <w:jc w:val="center"/>
              <w:rPr>
                <w:rFonts w:hint="eastAsia" w:cs="宋体"/>
                <w:b/>
                <w:bCs/>
                <w:color w:val="000000" w:themeColor="text1"/>
                <w:szCs w:val="21"/>
                <w14:textFill>
                  <w14:solidFill>
                    <w14:schemeClr w14:val="tx1"/>
                  </w14:solidFill>
                </w14:textFill>
              </w:rPr>
            </w:pPr>
          </w:p>
        </w:tc>
      </w:tr>
      <w:tr w14:paraId="7A0B0C06">
        <w:tblPrEx>
          <w:tblCellMar>
            <w:top w:w="0" w:type="dxa"/>
            <w:left w:w="108" w:type="dxa"/>
            <w:bottom w:w="0" w:type="dxa"/>
            <w:right w:w="108" w:type="dxa"/>
          </w:tblCellMar>
        </w:tblPrEx>
        <w:trPr>
          <w:trHeight w:val="10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DBF508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25ACFE3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QR话筒</w:t>
            </w:r>
          </w:p>
        </w:tc>
        <w:tc>
          <w:tcPr>
            <w:tcW w:w="2775" w:type="pct"/>
            <w:tcBorders>
              <w:top w:val="single" w:color="000000" w:sz="4" w:space="0"/>
              <w:left w:val="nil"/>
              <w:bottom w:val="single" w:color="000000" w:sz="4" w:space="0"/>
              <w:right w:val="single" w:color="000000" w:sz="4" w:space="0"/>
            </w:tcBorders>
            <w:vAlign w:val="center"/>
          </w:tcPr>
          <w:p w14:paraId="4EFF94F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1.换能方式：驻极体</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2.指向性：心型指向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3.频率响应：40Hz-16kHz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4.灵敏度：-43dB±2dB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5.前奏音灵敏度：-50dB±2dB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6.钟声提示：带钟声提示功能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7.线材配备：10米（卡农母头转6.35音频线）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8.咪杆长度 ：≥420mm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9.电源：~AC 220/50Hz（电源适配器DC 11.4V）；电池：DC9V</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E6B64C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BBD693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16519327">
        <w:tblPrEx>
          <w:tblCellMar>
            <w:top w:w="0" w:type="dxa"/>
            <w:left w:w="108" w:type="dxa"/>
            <w:bottom w:w="0" w:type="dxa"/>
            <w:right w:w="108" w:type="dxa"/>
          </w:tblCellMar>
        </w:tblPrEx>
        <w:trPr>
          <w:trHeight w:val="10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BF805A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08623EA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IP音频采集器</w:t>
            </w:r>
          </w:p>
        </w:tc>
        <w:tc>
          <w:tcPr>
            <w:tcW w:w="2775" w:type="pct"/>
            <w:tcBorders>
              <w:top w:val="single" w:color="000000" w:sz="4" w:space="0"/>
              <w:left w:val="nil"/>
              <w:bottom w:val="single" w:color="000000" w:sz="4" w:space="0"/>
              <w:right w:val="single" w:color="000000" w:sz="4" w:space="0"/>
            </w:tcBorders>
            <w:vAlign w:val="center"/>
          </w:tcPr>
          <w:p w14:paraId="61719140">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3.音频格式：MP3、PCM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6.音频模式：ADPCM PCM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7.输入频率：80Hz～16KHz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标准莲花座输入接口（非平衡）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9.AUX声压触发阀值：≥10MV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10.谐波失真：≤0.3%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11.信噪比：≥68dB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15.输入电源：DC12V/1A</w:t>
            </w:r>
          </w:p>
          <w:p w14:paraId="2E30754E">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16.设备采用嵌入式计算机技术和DSP音频处理技术设计。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17.内置2组RCA输入端子，带输入音量调节，灵活适配多种不同灵敏度音频设备，支持输入音频压限功能。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18.支持5分区独立触发打开或关闭采集功能，面板带有5个分区触发按键及指示灯。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19.支持定时采播任务、临时采播任务，采播任务优先级别可通过服务器设置。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支持“普通采播”、“中级采播”和“高级采播”三种采播模式，“普通采播”，可获得极低延迟的网络音频采集效果，“中级采播”可获得低延迟一般音质的网络采集效果，“高级采播”，可获得极低失真率的网络音频采集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21.支持路由器、交换机、网桥网关、Modem、Internet、2G、3G、4G等任意网络结构。</w:t>
            </w:r>
          </w:p>
          <w:p w14:paraId="62BDE815">
            <w:pPr>
              <w:widowControl/>
              <w:textAlignment w:val="center"/>
              <w:rPr>
                <w:rFonts w:hint="eastAsia" w:cs="宋体"/>
                <w:color w:val="000000" w:themeColor="text1"/>
                <w:kern w:val="0"/>
                <w:szCs w:val="21"/>
                <w:lang w:bidi="ar"/>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vAlign w:val="center"/>
          </w:tcPr>
          <w:p w14:paraId="7010E40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8A497D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64A0816F">
        <w:tblPrEx>
          <w:tblCellMar>
            <w:top w:w="0" w:type="dxa"/>
            <w:left w:w="108" w:type="dxa"/>
            <w:bottom w:w="0" w:type="dxa"/>
            <w:right w:w="108" w:type="dxa"/>
          </w:tblCellMar>
        </w:tblPrEx>
        <w:trPr>
          <w:trHeight w:val="10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A8B438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11290EC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专业数字播放器</w:t>
            </w:r>
          </w:p>
        </w:tc>
        <w:tc>
          <w:tcPr>
            <w:tcW w:w="2775" w:type="pct"/>
            <w:tcBorders>
              <w:top w:val="single" w:color="000000" w:sz="4" w:space="0"/>
              <w:left w:val="nil"/>
              <w:bottom w:val="single" w:color="000000" w:sz="4" w:space="0"/>
              <w:right w:val="single" w:color="000000" w:sz="4" w:space="0"/>
            </w:tcBorders>
            <w:vAlign w:val="center"/>
          </w:tcPr>
          <w:p w14:paraId="2A447D10">
            <w:pPr>
              <w:widowControl/>
              <w:textAlignment w:val="center"/>
              <w:rPr>
                <w:rFonts w:hint="eastAsia" w:cs="宋体"/>
                <w:color w:val="000000" w:themeColor="text1"/>
                <w:kern w:val="0"/>
                <w:szCs w:val="21"/>
                <w:lang w:bidi="ar"/>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1.支持音频格式：MP3、WMA、WAV、FLAC、AIFF、AAC、AMR、M4A、AC3、MIDI、TAK、OGG Vorbis、APE、MP2、M4R、MPC、MMF、TrueHD、RA(RealAudio)、OPUS、MKA、MLP、TTA、DTS、VOC、WV、AU、DFF、DSF、VQF、PVF、CAF、PAF、SF、W64、AVR、RF64、EAC3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2.光盘格式：CD-ROM、CD-DA、DVD-ROM、DVD+R9(DL)</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3.U盘格式支持：FAT32、NTFS、exFAT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4.SD卡格式支持：FAT32、exFAT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5.U盘、SD卡分区支持：单分区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6.LINE OUT 输出失真度：≤0.02%</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7.LINE OUT 输出信噪比：＞90dB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8.监听喇叭频率响应：300Hz～8kHz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9.LINE OUT 频率响应：20Hz～20kHz   +1/-1.5dB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10.LINE OUT输出幅度：1000mV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11.LINE OUT输出源阻抗：≤470Ω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12.耳机输出幅度：≤700mV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13.耳机输出源阻抗：≤32Ω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14.整机功耗：≤40W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17.工作电源：～190-240V 50-60Hz</w:t>
            </w:r>
          </w:p>
        </w:tc>
        <w:tc>
          <w:tcPr>
            <w:tcW w:w="370" w:type="pct"/>
            <w:tcBorders>
              <w:top w:val="single" w:color="000000" w:sz="4" w:space="0"/>
              <w:left w:val="single" w:color="000000" w:sz="4" w:space="0"/>
              <w:bottom w:val="single" w:color="000000" w:sz="4" w:space="0"/>
              <w:right w:val="single" w:color="000000" w:sz="4" w:space="0"/>
            </w:tcBorders>
            <w:vAlign w:val="center"/>
          </w:tcPr>
          <w:p w14:paraId="60FF2F6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BBD4A9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080E786">
        <w:tblPrEx>
          <w:tblCellMar>
            <w:top w:w="0" w:type="dxa"/>
            <w:left w:w="108" w:type="dxa"/>
            <w:bottom w:w="0" w:type="dxa"/>
            <w:right w:w="108" w:type="dxa"/>
          </w:tblCellMar>
        </w:tblPrEx>
        <w:trPr>
          <w:trHeight w:val="8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A51BA5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5BE2E42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数字音频多轨处理软件</w:t>
            </w:r>
          </w:p>
        </w:tc>
        <w:tc>
          <w:tcPr>
            <w:tcW w:w="2775" w:type="pct"/>
            <w:tcBorders>
              <w:top w:val="single" w:color="000000" w:sz="4" w:space="0"/>
              <w:left w:val="nil"/>
              <w:bottom w:val="single" w:color="000000" w:sz="4" w:space="0"/>
              <w:right w:val="single" w:color="000000" w:sz="4" w:space="0"/>
            </w:tcBorders>
            <w:vAlign w:val="center"/>
          </w:tcPr>
          <w:p w14:paraId="5101D56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1.软件内嵌于终端设备，支撑设备各项基本功能的运行。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2.支持播放CD等碟片。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3.支持读取U盘或SD卡，并且播放媒体文件。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4.支持读取根目录及其一级子目录下音频文件，最大不超过100个。</w:t>
            </w:r>
          </w:p>
        </w:tc>
        <w:tc>
          <w:tcPr>
            <w:tcW w:w="370" w:type="pct"/>
            <w:tcBorders>
              <w:top w:val="single" w:color="000000" w:sz="4" w:space="0"/>
              <w:left w:val="single" w:color="000000" w:sz="4" w:space="0"/>
              <w:bottom w:val="single" w:color="000000" w:sz="4" w:space="0"/>
              <w:right w:val="single" w:color="000000" w:sz="4" w:space="0"/>
            </w:tcBorders>
            <w:vAlign w:val="center"/>
          </w:tcPr>
          <w:p w14:paraId="655AE9B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036AAAE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185305FE">
        <w:tblPrEx>
          <w:tblCellMar>
            <w:top w:w="0" w:type="dxa"/>
            <w:left w:w="108" w:type="dxa"/>
            <w:bottom w:w="0" w:type="dxa"/>
            <w:right w:w="108" w:type="dxa"/>
          </w:tblCellMar>
        </w:tblPrEx>
        <w:trPr>
          <w:trHeight w:val="6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16276F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7930AB9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前置放大器</w:t>
            </w:r>
          </w:p>
        </w:tc>
        <w:tc>
          <w:tcPr>
            <w:tcW w:w="2775" w:type="pct"/>
            <w:tcBorders>
              <w:top w:val="single" w:color="000000" w:sz="4" w:space="0"/>
              <w:left w:val="nil"/>
              <w:bottom w:val="single" w:color="000000" w:sz="4" w:space="0"/>
              <w:right w:val="single" w:color="000000" w:sz="4" w:space="0"/>
            </w:tcBorders>
            <w:vAlign w:val="center"/>
          </w:tcPr>
          <w:p w14:paraId="62C8342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1.话筒1-5的输入灵敏度：话筒:5mV/600Ω非平衡；线路RCA:775mV /10KΩ非平衡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2.辅助1-3输入：AUX 1.2.3: 350mV/10KΩ非平衡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3.EMC1-2输入：RAC:非平衡 200mV～1000mV/10KΩ；MIC：非平衡 5mV～25mV/600Ω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5.信噪比：MIC 输入:≤50dB； AUX输入:≤80dB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6.音调调节：低音:±10dB at 100Hz；高音:±10dB at 10KHz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8.电源功耗：≤20W</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58B0F5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DFC934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886BF5D">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4479DA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18BEA28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寻呼话筒</w:t>
            </w:r>
          </w:p>
        </w:tc>
        <w:tc>
          <w:tcPr>
            <w:tcW w:w="2775" w:type="pct"/>
            <w:tcBorders>
              <w:top w:val="single" w:color="000000" w:sz="4" w:space="0"/>
              <w:left w:val="nil"/>
              <w:bottom w:val="single" w:color="000000" w:sz="4" w:space="0"/>
              <w:right w:val="single" w:color="000000" w:sz="4" w:space="0"/>
            </w:tcBorders>
            <w:vAlign w:val="center"/>
          </w:tcPr>
          <w:p w14:paraId="3CB0BA0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3.网络协议：支持IPv6、IPv4网络协议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8.显示屏尺寸：7英寸</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9.屏幕分辨率：800 x 480 像素</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10.屏幕类型：65K色DGUS屏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11.键盘类型：虚拟QWERTY键盘</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12.键盘输入方式：触控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13.内接扬声器阻抗及额定功率：≤4Ω，≤2W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14.总偕波失真：≤1%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15.内置喇叭频率响应：317Hz~3.4KHz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16.LIEN OUT频率响应：80Hz~16KHz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17.信噪比：&gt;65dB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18.PHONE OUT输出阻抗及额定功率：≤32Ω，≤2mW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19.LINE OUT 输出电平：1000mV 工业标准压线接线端子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20.LINE OUT 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21.LINE IN输入灵敏度：350mV  工业标准压线接线端子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22.MIC输入灵敏度（非平衡）：≤10mV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24.短路输出：最大1A/30VDC干接点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26.工作湿度：20%～80%相对湿度，无结露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27.整机功耗：≤6W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28.输入电源：～190V-240V 50Hz-60Hz(电源适配器);DC24V/1.5A</w:t>
            </w:r>
          </w:p>
        </w:tc>
        <w:tc>
          <w:tcPr>
            <w:tcW w:w="370" w:type="pct"/>
            <w:tcBorders>
              <w:top w:val="single" w:color="000000" w:sz="4" w:space="0"/>
              <w:left w:val="single" w:color="000000" w:sz="4" w:space="0"/>
              <w:bottom w:val="single" w:color="000000" w:sz="4" w:space="0"/>
              <w:right w:val="single" w:color="000000" w:sz="4" w:space="0"/>
            </w:tcBorders>
            <w:vAlign w:val="center"/>
          </w:tcPr>
          <w:p w14:paraId="10419DE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417339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6CC8F1B2">
        <w:tblPrEx>
          <w:tblCellMar>
            <w:top w:w="0" w:type="dxa"/>
            <w:left w:w="108" w:type="dxa"/>
            <w:bottom w:w="0" w:type="dxa"/>
            <w:right w:w="108" w:type="dxa"/>
          </w:tblCellMar>
        </w:tblPrEx>
        <w:trPr>
          <w:trHeight w:val="11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CDF79E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566F140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话筒呼叫控制嵌入软件</w:t>
            </w:r>
          </w:p>
        </w:tc>
        <w:tc>
          <w:tcPr>
            <w:tcW w:w="2775" w:type="pct"/>
            <w:tcBorders>
              <w:top w:val="single" w:color="000000" w:sz="4" w:space="0"/>
              <w:left w:val="nil"/>
              <w:bottom w:val="single" w:color="000000" w:sz="4" w:space="0"/>
              <w:right w:val="single" w:color="000000" w:sz="4" w:space="0"/>
            </w:tcBorders>
            <w:vAlign w:val="center"/>
          </w:tcPr>
          <w:p w14:paraId="2B74D17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1.软件内嵌于话筒设备，实现话筒呼叫控制功能，支撑设备各项基本功能的运行。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2.授权操作管理功能，支持服务器统一配置管理用户及密码。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4.支持多种呼叫策略，包括呼叫转移、呼叫等待、无人接听提醒等。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5.支持双向对讲功能，可与另一方对讲终端实现双向语音传输功能。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6.可实现分区/全区进行喊话/广播功能。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7.支持单独调节音量。</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1EFF18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35A9D9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3A7390F3">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14C59BEC">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其它配套设备</w:t>
            </w:r>
          </w:p>
        </w:tc>
        <w:tc>
          <w:tcPr>
            <w:tcW w:w="2775" w:type="pct"/>
            <w:tcBorders>
              <w:top w:val="single" w:color="000000" w:sz="4" w:space="0"/>
              <w:left w:val="nil"/>
              <w:bottom w:val="single" w:color="000000" w:sz="4" w:space="0"/>
              <w:right w:val="single" w:color="000000" w:sz="4" w:space="0"/>
            </w:tcBorders>
            <w:vAlign w:val="center"/>
          </w:tcPr>
          <w:p w14:paraId="0F95388A">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9F9BA9D">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42E8BE6">
            <w:pPr>
              <w:jc w:val="center"/>
              <w:rPr>
                <w:rFonts w:hint="eastAsia" w:cs="宋体"/>
                <w:b/>
                <w:bCs/>
                <w:color w:val="000000" w:themeColor="text1"/>
                <w:szCs w:val="21"/>
                <w14:textFill>
                  <w14:solidFill>
                    <w14:schemeClr w14:val="tx1"/>
                  </w14:solidFill>
                </w14:textFill>
              </w:rPr>
            </w:pPr>
          </w:p>
        </w:tc>
      </w:tr>
      <w:tr w14:paraId="570FEF06">
        <w:tblPrEx>
          <w:tblCellMar>
            <w:top w:w="0" w:type="dxa"/>
            <w:left w:w="108" w:type="dxa"/>
            <w:bottom w:w="0" w:type="dxa"/>
            <w:right w:w="108" w:type="dxa"/>
          </w:tblCellMar>
        </w:tblPrEx>
        <w:trPr>
          <w:trHeight w:val="12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C47B29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310A030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IP网络音箱</w:t>
            </w:r>
          </w:p>
        </w:tc>
        <w:tc>
          <w:tcPr>
            <w:tcW w:w="2775" w:type="pct"/>
            <w:tcBorders>
              <w:top w:val="single" w:color="000000" w:sz="4" w:space="0"/>
              <w:left w:val="nil"/>
              <w:bottom w:val="single" w:color="000000" w:sz="4" w:space="0"/>
              <w:right w:val="single" w:color="000000" w:sz="4" w:space="0"/>
            </w:tcBorders>
            <w:vAlign w:val="center"/>
          </w:tcPr>
          <w:p w14:paraId="56E24DA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14.工作电源：～190V-240V 50Hz-60Hz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15.尺寸：190（±5） x 180（±5） x 280（±5）mm    </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2F5283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45019E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16EAABB9">
        <w:tblPrEx>
          <w:tblCellMar>
            <w:top w:w="0" w:type="dxa"/>
            <w:left w:w="108" w:type="dxa"/>
            <w:bottom w:w="0" w:type="dxa"/>
            <w:right w:w="108" w:type="dxa"/>
          </w:tblCellMar>
        </w:tblPrEx>
        <w:trPr>
          <w:trHeight w:val="13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BDC4B6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271C3EC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数字化IP网络终端嵌入软件</w:t>
            </w:r>
          </w:p>
        </w:tc>
        <w:tc>
          <w:tcPr>
            <w:tcW w:w="2775" w:type="pct"/>
            <w:tcBorders>
              <w:top w:val="single" w:color="000000" w:sz="4" w:space="0"/>
              <w:left w:val="nil"/>
              <w:bottom w:val="single" w:color="000000" w:sz="4" w:space="0"/>
              <w:right w:val="single" w:color="000000" w:sz="4" w:space="0"/>
            </w:tcBorders>
            <w:vAlign w:val="center"/>
          </w:tcPr>
          <w:p w14:paraId="0304D58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1.软件(主)内嵌于数字化IP网络终端设备，支撑设备各项基本功能的运行。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F8A5DB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5F0996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8C08080">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CEBF11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3D8B26C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电源管理器</w:t>
            </w:r>
          </w:p>
        </w:tc>
        <w:tc>
          <w:tcPr>
            <w:tcW w:w="2775" w:type="pct"/>
            <w:tcBorders>
              <w:top w:val="single" w:color="000000" w:sz="4" w:space="0"/>
              <w:left w:val="nil"/>
              <w:bottom w:val="single" w:color="000000" w:sz="4" w:space="0"/>
              <w:right w:val="single" w:color="000000" w:sz="4" w:space="0"/>
            </w:tcBorders>
            <w:vAlign w:val="center"/>
          </w:tcPr>
          <w:p w14:paraId="79D77E1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1.额定输出电压：220V~50HZ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2.额定输出电流：30A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3.显示屏：LCD显示屏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4.监听器：内置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5.USB接口：0.5A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6.外接传感器供电接口：15V±2V/0.1A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7.RS485接口：RS485-1：第三方接口通信控制;RS485-2：外接温湿度传感器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8.可控制电源：≥8路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9.每路动作延迟时间：可调</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10.供电电源：VAC50/60HZ30A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11.单路额定输出电源：1-4路16A；5-8路10A；总电流30A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12.控制：PC界面控制、定时控制、手动控制，串口控制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13.指示灯：继电器状态指示，通电指示灯点亮，断电灯灭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14.插座保护：过载、短路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15.尺寸（LxWxH）：484（±5）*300（±5）*48（±5）mm</w:t>
            </w:r>
          </w:p>
        </w:tc>
        <w:tc>
          <w:tcPr>
            <w:tcW w:w="370" w:type="pct"/>
            <w:tcBorders>
              <w:top w:val="single" w:color="000000" w:sz="4" w:space="0"/>
              <w:left w:val="single" w:color="000000" w:sz="4" w:space="0"/>
              <w:bottom w:val="single" w:color="000000" w:sz="4" w:space="0"/>
              <w:right w:val="single" w:color="000000" w:sz="4" w:space="0"/>
            </w:tcBorders>
            <w:vAlign w:val="center"/>
          </w:tcPr>
          <w:p w14:paraId="44E906E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392DB1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6AEE79E0">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667D17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4D0CEC7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机柜</w:t>
            </w:r>
          </w:p>
        </w:tc>
        <w:tc>
          <w:tcPr>
            <w:tcW w:w="2775" w:type="pct"/>
            <w:tcBorders>
              <w:top w:val="single" w:color="000000" w:sz="4" w:space="0"/>
              <w:left w:val="single" w:color="000000" w:sz="4" w:space="0"/>
              <w:bottom w:val="single" w:color="000000" w:sz="4" w:space="0"/>
              <w:right w:val="single" w:color="000000" w:sz="4" w:space="0"/>
            </w:tcBorders>
            <w:vAlign w:val="center"/>
          </w:tcPr>
          <w:p w14:paraId="1AA0D6EC">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≥42U</w:t>
            </w:r>
          </w:p>
        </w:tc>
        <w:tc>
          <w:tcPr>
            <w:tcW w:w="370" w:type="pct"/>
            <w:tcBorders>
              <w:top w:val="single" w:color="000000" w:sz="4" w:space="0"/>
              <w:left w:val="single" w:color="000000" w:sz="4" w:space="0"/>
              <w:bottom w:val="single" w:color="000000" w:sz="4" w:space="0"/>
              <w:right w:val="single" w:color="000000" w:sz="4" w:space="0"/>
            </w:tcBorders>
            <w:vAlign w:val="center"/>
          </w:tcPr>
          <w:p w14:paraId="3679FA9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2F30DB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441DAF6E">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76DD2438">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模拟备份系统设备</w:t>
            </w:r>
          </w:p>
        </w:tc>
        <w:tc>
          <w:tcPr>
            <w:tcW w:w="2775" w:type="pct"/>
            <w:tcBorders>
              <w:top w:val="single" w:color="000000" w:sz="4" w:space="0"/>
              <w:left w:val="nil"/>
              <w:bottom w:val="single" w:color="000000" w:sz="4" w:space="0"/>
              <w:right w:val="single" w:color="000000" w:sz="4" w:space="0"/>
            </w:tcBorders>
            <w:vAlign w:val="center"/>
          </w:tcPr>
          <w:p w14:paraId="22DA81B2">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A053D5F">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30D1F4D">
            <w:pPr>
              <w:jc w:val="center"/>
              <w:rPr>
                <w:rFonts w:hint="eastAsia" w:cs="宋体"/>
                <w:b/>
                <w:bCs/>
                <w:color w:val="000000" w:themeColor="text1"/>
                <w:szCs w:val="21"/>
                <w14:textFill>
                  <w14:solidFill>
                    <w14:schemeClr w14:val="tx1"/>
                  </w14:solidFill>
                </w14:textFill>
              </w:rPr>
            </w:pPr>
          </w:p>
        </w:tc>
      </w:tr>
      <w:tr w14:paraId="133186D7">
        <w:tblPrEx>
          <w:tblCellMar>
            <w:top w:w="0" w:type="dxa"/>
            <w:left w:w="108" w:type="dxa"/>
            <w:bottom w:w="0" w:type="dxa"/>
            <w:right w:w="108" w:type="dxa"/>
          </w:tblCellMar>
        </w:tblPrEx>
        <w:trPr>
          <w:trHeight w:val="55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96F1FD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64DC1DB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控制主机</w:t>
            </w:r>
          </w:p>
        </w:tc>
        <w:tc>
          <w:tcPr>
            <w:tcW w:w="2775" w:type="pct"/>
            <w:tcBorders>
              <w:top w:val="single" w:color="000000" w:sz="4" w:space="0"/>
              <w:left w:val="nil"/>
              <w:bottom w:val="single" w:color="000000" w:sz="4" w:space="0"/>
              <w:right w:val="single" w:color="000000" w:sz="4" w:space="0"/>
            </w:tcBorders>
            <w:vAlign w:val="center"/>
          </w:tcPr>
          <w:p w14:paraId="103DEB0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1.电源：~220V  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2.功耗：≤30W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3.音频输入：LINE 10KΩ 775mV 不平衡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4.音频输出：1KΩ 0~1.5V 不平衡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5.频响：20Hz~20kHz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6.信噪比：≤90dB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7.失真度：≤0.1%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8.报警输入电平：0V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9.报警输出电平：0V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10.电源控制输出电平：0V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11.监听喇叭功率：≤0.5W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12.通信接口：RJ45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13.通信协议：RS-422、RS-485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14.通信速度：≥4800bps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15.MP3存储介质：SD卡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16.尺寸（mm）：484 x 350 x 132（LxDxH）</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6B6D7E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654D69A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556C0D53">
        <w:tblPrEx>
          <w:tblCellMar>
            <w:top w:w="0" w:type="dxa"/>
            <w:left w:w="108" w:type="dxa"/>
            <w:bottom w:w="0" w:type="dxa"/>
            <w:right w:w="108" w:type="dxa"/>
          </w:tblCellMar>
        </w:tblPrEx>
        <w:trPr>
          <w:trHeight w:val="47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A274BE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44C92F5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智能控制中心嵌入软件</w:t>
            </w:r>
          </w:p>
        </w:tc>
        <w:tc>
          <w:tcPr>
            <w:tcW w:w="2775" w:type="pct"/>
            <w:tcBorders>
              <w:top w:val="single" w:color="000000" w:sz="4" w:space="0"/>
              <w:left w:val="nil"/>
              <w:bottom w:val="single" w:color="000000" w:sz="4" w:space="0"/>
              <w:right w:val="single" w:color="000000" w:sz="4" w:space="0"/>
            </w:tcBorders>
            <w:vAlign w:val="center"/>
          </w:tcPr>
          <w:p w14:paraId="0A1397D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1.软件内嵌于智能广播系统主机设备，支撑设备各项基本功能的运行。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2.支持系统设置、按键管理、时间设置、编辑程序等功能。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3.支持主程序+备程序自动控制功能。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4.支持分区/全区广播功能，支持与消防设备联动紧急广播。</w:t>
            </w:r>
          </w:p>
        </w:tc>
        <w:tc>
          <w:tcPr>
            <w:tcW w:w="370" w:type="pct"/>
            <w:tcBorders>
              <w:top w:val="single" w:color="000000" w:sz="4" w:space="0"/>
              <w:left w:val="single" w:color="000000" w:sz="4" w:space="0"/>
              <w:bottom w:val="single" w:color="000000" w:sz="4" w:space="0"/>
              <w:right w:val="single" w:color="000000" w:sz="4" w:space="0"/>
            </w:tcBorders>
            <w:vAlign w:val="center"/>
          </w:tcPr>
          <w:p w14:paraId="60A6C6D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05B573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775A42F2">
        <w:tblPrEx>
          <w:tblCellMar>
            <w:top w:w="0" w:type="dxa"/>
            <w:left w:w="108" w:type="dxa"/>
            <w:bottom w:w="0" w:type="dxa"/>
            <w:right w:w="108" w:type="dxa"/>
          </w:tblCellMar>
        </w:tblPrEx>
        <w:trPr>
          <w:trHeight w:val="126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4C4ACB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261AA99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寻呼器</w:t>
            </w:r>
          </w:p>
        </w:tc>
        <w:tc>
          <w:tcPr>
            <w:tcW w:w="2775" w:type="pct"/>
            <w:tcBorders>
              <w:top w:val="single" w:color="000000" w:sz="4" w:space="0"/>
              <w:left w:val="nil"/>
              <w:bottom w:val="single" w:color="000000" w:sz="4" w:space="0"/>
              <w:right w:val="single" w:color="000000" w:sz="4" w:space="0"/>
            </w:tcBorders>
            <w:vAlign w:val="center"/>
          </w:tcPr>
          <w:p w14:paraId="243F979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2.通讯接口：RJ45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3.通讯协议：RS-485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4.功耗：≤10W</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7740DE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E02CA9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95DEC36">
        <w:tblPrEx>
          <w:tblCellMar>
            <w:top w:w="0" w:type="dxa"/>
            <w:left w:w="108" w:type="dxa"/>
            <w:bottom w:w="0" w:type="dxa"/>
            <w:right w:w="108" w:type="dxa"/>
          </w:tblCellMar>
        </w:tblPrEx>
        <w:trPr>
          <w:trHeight w:val="11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A0C17D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01F5C44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话筒呼叫控制嵌入软件</w:t>
            </w:r>
          </w:p>
        </w:tc>
        <w:tc>
          <w:tcPr>
            <w:tcW w:w="2775" w:type="pct"/>
            <w:tcBorders>
              <w:top w:val="single" w:color="000000" w:sz="4" w:space="0"/>
              <w:left w:val="nil"/>
              <w:bottom w:val="single" w:color="000000" w:sz="4" w:space="0"/>
              <w:right w:val="single" w:color="000000" w:sz="4" w:space="0"/>
            </w:tcBorders>
            <w:vAlign w:val="center"/>
          </w:tcPr>
          <w:p w14:paraId="46C28F5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1.软件内嵌于话筒设备，实现话筒呼叫控制功能，支撑设备各项基本功能的运行。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3.可实现分区/全区进行喊话/广播功能。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4.支持任务优先级设定。</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5.支持钟声提示音提醒功能。</w:t>
            </w:r>
          </w:p>
        </w:tc>
        <w:tc>
          <w:tcPr>
            <w:tcW w:w="370" w:type="pct"/>
            <w:tcBorders>
              <w:top w:val="single" w:color="000000" w:sz="4" w:space="0"/>
              <w:left w:val="single" w:color="000000" w:sz="4" w:space="0"/>
              <w:bottom w:val="single" w:color="000000" w:sz="4" w:space="0"/>
              <w:right w:val="single" w:color="000000" w:sz="4" w:space="0"/>
            </w:tcBorders>
            <w:vAlign w:val="center"/>
          </w:tcPr>
          <w:p w14:paraId="0B41811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634B00D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B536C93">
        <w:tblPrEx>
          <w:tblCellMar>
            <w:top w:w="0" w:type="dxa"/>
            <w:left w:w="108" w:type="dxa"/>
            <w:bottom w:w="0" w:type="dxa"/>
            <w:right w:w="108" w:type="dxa"/>
          </w:tblCellMar>
        </w:tblPrEx>
        <w:trPr>
          <w:trHeight w:val="13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13DDE3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69825C9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前置放大器</w:t>
            </w:r>
          </w:p>
        </w:tc>
        <w:tc>
          <w:tcPr>
            <w:tcW w:w="2775" w:type="pct"/>
            <w:tcBorders>
              <w:top w:val="single" w:color="000000" w:sz="4" w:space="0"/>
              <w:left w:val="nil"/>
              <w:bottom w:val="single" w:color="000000" w:sz="4" w:space="0"/>
              <w:right w:val="single" w:color="000000" w:sz="4" w:space="0"/>
            </w:tcBorders>
            <w:vAlign w:val="center"/>
          </w:tcPr>
          <w:p w14:paraId="408B15E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1.话筒1-5的输入灵敏度：话筒:5mV/600Ω非平衡；线路RCA:775mV /10KΩ非平衡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2.辅助1-3输入：AUX 1.2.3: 350mV/10KΩ非平衡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3.EMC1-2输入：RAC:非平衡 200mV～1000mV/10KΩ；MIC：非平衡 5mV～25mV/600Ω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5.信噪比：MIC 输入:≤50dB； AUX输入:≤80dB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6.音调调节：低音:±10dB at 100Hz；高音:±10dB at 10KHz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8.电源功耗：≤20W</w:t>
            </w:r>
          </w:p>
        </w:tc>
        <w:tc>
          <w:tcPr>
            <w:tcW w:w="370" w:type="pct"/>
            <w:tcBorders>
              <w:top w:val="single" w:color="000000" w:sz="4" w:space="0"/>
              <w:left w:val="single" w:color="000000" w:sz="4" w:space="0"/>
              <w:bottom w:val="single" w:color="000000" w:sz="4" w:space="0"/>
              <w:right w:val="single" w:color="000000" w:sz="4" w:space="0"/>
            </w:tcBorders>
            <w:vAlign w:val="center"/>
          </w:tcPr>
          <w:p w14:paraId="419CC20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CA14C6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F858D9F">
        <w:tblPrEx>
          <w:tblCellMar>
            <w:top w:w="0" w:type="dxa"/>
            <w:left w:w="108" w:type="dxa"/>
            <w:bottom w:w="0" w:type="dxa"/>
            <w:right w:w="108" w:type="dxa"/>
          </w:tblCellMar>
        </w:tblPrEx>
        <w:trPr>
          <w:trHeight w:val="15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1D5B22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5B7B0AC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纯后级功放</w:t>
            </w:r>
          </w:p>
        </w:tc>
        <w:tc>
          <w:tcPr>
            <w:tcW w:w="2775" w:type="pct"/>
            <w:tcBorders>
              <w:top w:val="single" w:color="000000" w:sz="4" w:space="0"/>
              <w:left w:val="nil"/>
              <w:bottom w:val="single" w:color="000000" w:sz="4" w:space="0"/>
              <w:right w:val="single" w:color="000000" w:sz="4" w:space="0"/>
            </w:tcBorders>
            <w:vAlign w:val="center"/>
          </w:tcPr>
          <w:p w14:paraId="06CFDF6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1.额定输出功率：≥2000W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2.扬声器输出：4-16Ω,100V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3.输入灵敏度 &amp; 输入阻抗：775mV/10KΩ, 平衡 XLR/TRS接口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4.输出灵敏度 &amp; 输出源阻抗：775mV/470Ω, 平衡 XLR 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5.频率响应：80Hz~16kHz(+1dB, -3dB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6.信噪比：&gt;90dB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7.总谐波失真：1kHz时0.5%, 1/3 输出功率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8.散热：由前往后强制风冷，散热器温度45度时启动内置风扇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9.保护：过热, 过载&amp;短路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11.整机功耗*：≤400W</w:t>
            </w:r>
          </w:p>
        </w:tc>
        <w:tc>
          <w:tcPr>
            <w:tcW w:w="370" w:type="pct"/>
            <w:tcBorders>
              <w:top w:val="single" w:color="000000" w:sz="4" w:space="0"/>
              <w:left w:val="single" w:color="000000" w:sz="4" w:space="0"/>
              <w:bottom w:val="single" w:color="000000" w:sz="4" w:space="0"/>
              <w:right w:val="single" w:color="000000" w:sz="4" w:space="0"/>
            </w:tcBorders>
            <w:vAlign w:val="center"/>
          </w:tcPr>
          <w:p w14:paraId="0B77930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536" w:type="pct"/>
            <w:tcBorders>
              <w:top w:val="single" w:color="000000" w:sz="4" w:space="0"/>
              <w:left w:val="single" w:color="000000" w:sz="4" w:space="0"/>
              <w:bottom w:val="single" w:color="000000" w:sz="4" w:space="0"/>
              <w:right w:val="single" w:color="000000" w:sz="4" w:space="0"/>
            </w:tcBorders>
            <w:vAlign w:val="center"/>
          </w:tcPr>
          <w:p w14:paraId="4903F17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6E3C609E">
        <w:tblPrEx>
          <w:tblCellMar>
            <w:top w:w="0" w:type="dxa"/>
            <w:left w:w="108" w:type="dxa"/>
            <w:bottom w:w="0" w:type="dxa"/>
            <w:right w:w="108" w:type="dxa"/>
          </w:tblCellMar>
        </w:tblPrEx>
        <w:trPr>
          <w:trHeight w:val="15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088719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4C64C4C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主备切换器</w:t>
            </w:r>
          </w:p>
        </w:tc>
        <w:tc>
          <w:tcPr>
            <w:tcW w:w="2775" w:type="pct"/>
            <w:tcBorders>
              <w:top w:val="single" w:color="000000" w:sz="4" w:space="0"/>
              <w:left w:val="nil"/>
              <w:bottom w:val="single" w:color="000000" w:sz="4" w:space="0"/>
              <w:right w:val="single" w:color="000000" w:sz="4" w:space="0"/>
            </w:tcBorders>
            <w:vAlign w:val="center"/>
          </w:tcPr>
          <w:p w14:paraId="11F833C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1.交流供电电压：AC 220V±10% 50-60Hz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2.交流供电最大电流：小于0.5A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3.保险丝规格：250V/1A，慢速型</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4.交流供电功耗：≤12W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5.直流供电电压：24V DC, ±20%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6.直流供电最大电流：≤0.5 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7.线路输入灵敏度：≥775mV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8.线路输入阻抗：≤10KΩ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9.线路输出幅度：≥775mV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10.线路输出阻抗：≤470Ω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11.失真：＜0.1% （额定输出功率）,1KHz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12.频响：20Hz-16KHz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13.信噪比：&gt;70dB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14.可控切换通道数：≥8</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15.通道切换能力：100V 20A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16.功放切换时间：＜0.2S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17.冷却方式：自然散热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18.操作温度：+ 5℃ ～+ 4 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19.存储温度：- 20℃ ～+ 70℃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20.相对湿度：&lt; 9 5 %（无凝露）</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FC4799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E11F7B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55ABAE40">
        <w:tblPrEx>
          <w:tblCellMar>
            <w:top w:w="0" w:type="dxa"/>
            <w:left w:w="108" w:type="dxa"/>
            <w:bottom w:w="0" w:type="dxa"/>
            <w:right w:w="108" w:type="dxa"/>
          </w:tblCellMar>
        </w:tblPrEx>
        <w:trPr>
          <w:trHeight w:val="14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0B6B12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820" w:type="pct"/>
            <w:tcBorders>
              <w:top w:val="single" w:color="000000" w:sz="4" w:space="0"/>
              <w:left w:val="single" w:color="000000" w:sz="4" w:space="0"/>
              <w:bottom w:val="single" w:color="000000" w:sz="4" w:space="0"/>
              <w:right w:val="single" w:color="000000" w:sz="4" w:space="0"/>
            </w:tcBorders>
            <w:vAlign w:val="center"/>
          </w:tcPr>
          <w:p w14:paraId="73A3F51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功率放大器智能分区控制嵌入软件</w:t>
            </w:r>
          </w:p>
        </w:tc>
        <w:tc>
          <w:tcPr>
            <w:tcW w:w="2775" w:type="pct"/>
            <w:tcBorders>
              <w:top w:val="single" w:color="000000" w:sz="4" w:space="0"/>
              <w:left w:val="nil"/>
              <w:bottom w:val="single" w:color="000000" w:sz="4" w:space="0"/>
              <w:right w:val="single" w:color="000000" w:sz="4" w:space="0"/>
            </w:tcBorders>
            <w:vAlign w:val="center"/>
          </w:tcPr>
          <w:p w14:paraId="7551669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1.软件内嵌于功率放大器智能分区控制系统设备，支撑设备各项基本功能的运行。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2.支持实时功放状态检测，并且以不同的LED颜色指示。</w:t>
            </w:r>
          </w:p>
        </w:tc>
        <w:tc>
          <w:tcPr>
            <w:tcW w:w="370" w:type="pct"/>
            <w:tcBorders>
              <w:top w:val="single" w:color="000000" w:sz="4" w:space="0"/>
              <w:left w:val="single" w:color="000000" w:sz="4" w:space="0"/>
              <w:bottom w:val="single" w:color="000000" w:sz="4" w:space="0"/>
              <w:right w:val="single" w:color="000000" w:sz="4" w:space="0"/>
            </w:tcBorders>
            <w:vAlign w:val="center"/>
          </w:tcPr>
          <w:p w14:paraId="4E8F68C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60398D3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3C6EA968">
        <w:tblPrEx>
          <w:tblCellMar>
            <w:top w:w="0" w:type="dxa"/>
            <w:left w:w="108" w:type="dxa"/>
            <w:bottom w:w="0" w:type="dxa"/>
            <w:right w:w="108" w:type="dxa"/>
          </w:tblCellMar>
        </w:tblPrEx>
        <w:trPr>
          <w:trHeight w:val="13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C034C4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7A77270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纯后级功放</w:t>
            </w:r>
          </w:p>
        </w:tc>
        <w:tc>
          <w:tcPr>
            <w:tcW w:w="2775" w:type="pct"/>
            <w:tcBorders>
              <w:top w:val="single" w:color="000000" w:sz="4" w:space="0"/>
              <w:left w:val="nil"/>
              <w:bottom w:val="single" w:color="000000" w:sz="4" w:space="0"/>
              <w:right w:val="single" w:color="000000" w:sz="4" w:space="0"/>
            </w:tcBorders>
            <w:vAlign w:val="center"/>
          </w:tcPr>
          <w:p w14:paraId="4155646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1.额定输出功率：≥2000W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2.扬声器输出：4-16Ω,100V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3.输入灵敏度 &amp; 输入阻抗：775mV/10KΩ, 平衡 XLR/TRS接口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4.输出灵敏度 &amp; 输出源阻抗：775mV/470Ω, 平衡 XLR 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5.频率响应：80Hz~16kHz(+1dB, -3dB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6.信噪比：&gt;90dB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7.总谐波失真：1kHz时0.5%, 1/3 输出功率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8.散热：由前往后强制风冷，散热器温度45度时启动内置风扇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9.保护：过热, 过载&amp;短路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11.整机功耗*：≤400W</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8E7F36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393DB0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58A36996">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88470C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820" w:type="pct"/>
            <w:tcBorders>
              <w:top w:val="single" w:color="000000" w:sz="4" w:space="0"/>
              <w:left w:val="single" w:color="000000" w:sz="4" w:space="0"/>
              <w:bottom w:val="single" w:color="000000" w:sz="4" w:space="0"/>
              <w:right w:val="single" w:color="000000" w:sz="4" w:space="0"/>
            </w:tcBorders>
            <w:vAlign w:val="center"/>
          </w:tcPr>
          <w:p w14:paraId="5F6ECE3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不间断电源机架式</w:t>
            </w:r>
          </w:p>
        </w:tc>
        <w:tc>
          <w:tcPr>
            <w:tcW w:w="2775" w:type="pct"/>
            <w:tcBorders>
              <w:top w:val="single" w:color="000000" w:sz="4" w:space="0"/>
              <w:left w:val="single" w:color="000000" w:sz="4" w:space="0"/>
              <w:bottom w:val="single" w:color="000000" w:sz="4" w:space="0"/>
              <w:right w:val="single" w:color="000000" w:sz="4" w:space="0"/>
            </w:tcBorders>
            <w:vAlign w:val="center"/>
          </w:tcPr>
          <w:p w14:paraId="776E642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额定容量：≤2400W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输入电压：（110-300)VAC</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电池形式：阀控式铅酸电池</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输入频率：(40-70)Hz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电池备用时间：&gt;3min</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入功因：≥0.99</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电池充电时间：≤10小时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输出电压：220x(1±2%)VAC</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转换时间：0ms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输出频率：50±0.05Hz（电池模式）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插座形式*数量：国标插座10A*2</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論出功因：40°C环境温度下≥0.8,30℃环境温度下≥0.9</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过载能力：105%-150%,47s-25s;150%-200%,25s-300ms;200%以上200ms(输出功因0.8)</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LED指示灯：负载指示灯、电池供电指示灯、UPS运行状况指示灯等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电池放电：当输入电压断电时每四秒一叫，当电池将用尽时每一秒一叫</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自动重启：电池耗尽 shutdown后，市电恢复正常时，可以自动重启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运行环境：温度0℃-40°C湿度&lt;95%</w:t>
            </w:r>
          </w:p>
        </w:tc>
        <w:tc>
          <w:tcPr>
            <w:tcW w:w="370" w:type="pct"/>
            <w:tcBorders>
              <w:top w:val="single" w:color="000000" w:sz="4" w:space="0"/>
              <w:left w:val="single" w:color="000000" w:sz="4" w:space="0"/>
              <w:bottom w:val="single" w:color="000000" w:sz="4" w:space="0"/>
              <w:right w:val="single" w:color="000000" w:sz="4" w:space="0"/>
            </w:tcBorders>
            <w:vAlign w:val="center"/>
          </w:tcPr>
          <w:p w14:paraId="41E1023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D7F196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94774D0">
        <w:tblPrEx>
          <w:tblCellMar>
            <w:top w:w="0" w:type="dxa"/>
            <w:left w:w="108" w:type="dxa"/>
            <w:bottom w:w="0" w:type="dxa"/>
            <w:right w:w="108" w:type="dxa"/>
          </w:tblCellMar>
        </w:tblPrEx>
        <w:trPr>
          <w:trHeight w:val="9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4725E1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820" w:type="pct"/>
            <w:tcBorders>
              <w:top w:val="single" w:color="000000" w:sz="4" w:space="0"/>
              <w:left w:val="single" w:color="000000" w:sz="4" w:space="0"/>
              <w:bottom w:val="single" w:color="000000" w:sz="4" w:space="0"/>
              <w:right w:val="single" w:color="000000" w:sz="4" w:space="0"/>
            </w:tcBorders>
            <w:vAlign w:val="center"/>
          </w:tcPr>
          <w:p w14:paraId="03AC7BE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专业数字播放器</w:t>
            </w:r>
          </w:p>
        </w:tc>
        <w:tc>
          <w:tcPr>
            <w:tcW w:w="2775" w:type="pct"/>
            <w:tcBorders>
              <w:top w:val="single" w:color="000000" w:sz="4" w:space="0"/>
              <w:left w:val="nil"/>
              <w:bottom w:val="single" w:color="000000" w:sz="4" w:space="0"/>
              <w:right w:val="single" w:color="000000" w:sz="4" w:space="0"/>
            </w:tcBorders>
            <w:vAlign w:val="center"/>
          </w:tcPr>
          <w:p w14:paraId="6161B58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1.支持音频格式：MP3、WMA、WAV、FLAC、AIFF、AAC、AMR、M4A、AC3、MIDI、TAK、OGG Vorbis、APE、MP2、M4R、MPC、MMF、TrueHD、RA(RealAudio)、OPUS、MKA、MLP、TTA、DTS、VOC、WV、AU、DFF、DSF、VQF、PVF、CAF、PAF、SF、W64、AVR、RF64、EAC3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2.光盘格式：CD-ROM、CD-DA、DVD-ROM、DVD+R9(DL)</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3.U盘格式支持：FAT32、NTFS、exFAT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4.SD卡格式支持：FAT32、exFAT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5.U盘、SD卡分区支持：单分区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6.LINE OUT 输出失真度：≤0.02%</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7.LINE OUT 输出信噪比：＞90dB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8.监听喇叭频率响应：300Hz～8kHz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9.LINE OUT 频率响应：20Hz～20kHz   +1/-1.5dB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10.LINE OUT输出幅度：≥1000mV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11.LINE OUT输出源阻抗：≤470Ω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12.耳机输出幅度：≥700mV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13.耳机输出源阻抗：≤32Ω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14.整机功耗：≤40W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17.工作电源：～190-240V 50-60Hz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18.尺寸：484*212*45mm（长*宽*高）</w:t>
            </w:r>
          </w:p>
        </w:tc>
        <w:tc>
          <w:tcPr>
            <w:tcW w:w="370" w:type="pct"/>
            <w:tcBorders>
              <w:top w:val="single" w:color="000000" w:sz="4" w:space="0"/>
              <w:left w:val="single" w:color="000000" w:sz="4" w:space="0"/>
              <w:bottom w:val="single" w:color="000000" w:sz="4" w:space="0"/>
              <w:right w:val="single" w:color="000000" w:sz="4" w:space="0"/>
            </w:tcBorders>
            <w:vAlign w:val="center"/>
          </w:tcPr>
          <w:p w14:paraId="433AAA2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549FBE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1E1FEA5F">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E1A692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w:t>
            </w:r>
          </w:p>
        </w:tc>
        <w:tc>
          <w:tcPr>
            <w:tcW w:w="820" w:type="pct"/>
            <w:tcBorders>
              <w:top w:val="single" w:color="000000" w:sz="4" w:space="0"/>
              <w:left w:val="single" w:color="000000" w:sz="4" w:space="0"/>
              <w:bottom w:val="single" w:color="000000" w:sz="4" w:space="0"/>
              <w:right w:val="single" w:color="000000" w:sz="4" w:space="0"/>
            </w:tcBorders>
            <w:vAlign w:val="center"/>
          </w:tcPr>
          <w:p w14:paraId="6622D70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数字音频多轨处理软件</w:t>
            </w:r>
          </w:p>
        </w:tc>
        <w:tc>
          <w:tcPr>
            <w:tcW w:w="2775" w:type="pct"/>
            <w:tcBorders>
              <w:top w:val="single" w:color="000000" w:sz="4" w:space="0"/>
              <w:left w:val="nil"/>
              <w:bottom w:val="single" w:color="000000" w:sz="4" w:space="0"/>
              <w:right w:val="single" w:color="000000" w:sz="4" w:space="0"/>
            </w:tcBorders>
            <w:vAlign w:val="center"/>
          </w:tcPr>
          <w:p w14:paraId="7B98934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1.软件内嵌于终端设备，支撑设备各项基本功能的运行。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2.支持播放CD等碟片。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3.支持读取U盘或SD卡，并且播放媒体文件。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4.支持读取根目录及其一级子目录下音频文件，最大不超过100个。</w:t>
            </w:r>
          </w:p>
        </w:tc>
        <w:tc>
          <w:tcPr>
            <w:tcW w:w="370" w:type="pct"/>
            <w:tcBorders>
              <w:top w:val="single" w:color="000000" w:sz="4" w:space="0"/>
              <w:left w:val="single" w:color="000000" w:sz="4" w:space="0"/>
              <w:bottom w:val="single" w:color="000000" w:sz="4" w:space="0"/>
              <w:right w:val="single" w:color="000000" w:sz="4" w:space="0"/>
            </w:tcBorders>
            <w:vAlign w:val="center"/>
          </w:tcPr>
          <w:p w14:paraId="2C01604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943B12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39BB921">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5C1E8917">
            <w:pP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二、校园广播站</w:t>
            </w:r>
          </w:p>
        </w:tc>
        <w:tc>
          <w:tcPr>
            <w:tcW w:w="2775" w:type="pct"/>
            <w:tcBorders>
              <w:top w:val="single" w:color="000000" w:sz="4" w:space="0"/>
              <w:left w:val="single" w:color="000000" w:sz="4" w:space="0"/>
              <w:bottom w:val="single" w:color="000000" w:sz="4" w:space="0"/>
              <w:right w:val="single" w:color="000000" w:sz="4" w:space="0"/>
            </w:tcBorders>
            <w:noWrap/>
            <w:vAlign w:val="center"/>
          </w:tcPr>
          <w:p w14:paraId="103D9237">
            <w:pPr>
              <w:rPr>
                <w:rFonts w:hint="eastAsia" w:cs="宋体"/>
                <w:b/>
                <w:bCs/>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65744F9">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A7AD40E">
            <w:pPr>
              <w:jc w:val="center"/>
              <w:rPr>
                <w:rFonts w:hint="eastAsia" w:cs="宋体"/>
                <w:b/>
                <w:bCs/>
                <w:color w:val="000000" w:themeColor="text1"/>
                <w:szCs w:val="21"/>
                <w14:textFill>
                  <w14:solidFill>
                    <w14:schemeClr w14:val="tx1"/>
                  </w14:solidFill>
                </w14:textFill>
              </w:rPr>
            </w:pPr>
          </w:p>
        </w:tc>
      </w:tr>
      <w:tr w14:paraId="782B02C6">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B15DD9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5B1159A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控制终端</w:t>
            </w:r>
          </w:p>
        </w:tc>
        <w:tc>
          <w:tcPr>
            <w:tcW w:w="2775" w:type="pct"/>
            <w:tcBorders>
              <w:top w:val="single" w:color="000000" w:sz="4" w:space="0"/>
              <w:left w:val="single" w:color="000000" w:sz="4" w:space="0"/>
              <w:bottom w:val="single" w:color="000000" w:sz="4" w:space="0"/>
              <w:right w:val="single" w:color="000000" w:sz="4" w:space="0"/>
            </w:tcBorders>
            <w:vAlign w:val="center"/>
          </w:tcPr>
          <w:p w14:paraId="62E9ACC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8G 1T ≥21.5英寸 </w:t>
            </w:r>
          </w:p>
        </w:tc>
        <w:tc>
          <w:tcPr>
            <w:tcW w:w="370" w:type="pct"/>
            <w:tcBorders>
              <w:top w:val="single" w:color="000000" w:sz="4" w:space="0"/>
              <w:left w:val="single" w:color="000000" w:sz="4" w:space="0"/>
              <w:bottom w:val="single" w:color="000000" w:sz="4" w:space="0"/>
              <w:right w:val="single" w:color="000000" w:sz="4" w:space="0"/>
            </w:tcBorders>
            <w:vAlign w:val="center"/>
          </w:tcPr>
          <w:p w14:paraId="56C8441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2AEF17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04CBD158">
        <w:tblPrEx>
          <w:tblCellMar>
            <w:top w:w="0" w:type="dxa"/>
            <w:left w:w="108" w:type="dxa"/>
            <w:bottom w:w="0" w:type="dxa"/>
            <w:right w:w="108" w:type="dxa"/>
          </w:tblCellMar>
        </w:tblPrEx>
        <w:trPr>
          <w:trHeight w:val="9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46EE17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129D4E9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IP网络广播系统分控软件</w:t>
            </w:r>
          </w:p>
        </w:tc>
        <w:tc>
          <w:tcPr>
            <w:tcW w:w="2775" w:type="pct"/>
            <w:tcBorders>
              <w:top w:val="single" w:color="000000" w:sz="4" w:space="0"/>
              <w:left w:val="nil"/>
              <w:bottom w:val="single" w:color="000000" w:sz="4" w:space="0"/>
              <w:right w:val="single" w:color="000000" w:sz="4" w:space="0"/>
            </w:tcBorders>
            <w:vAlign w:val="center"/>
          </w:tcPr>
          <w:p w14:paraId="3A0B7F2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1.数字客户端分控软件运行于Windows操作系统的台式电脑或笔记本电脑（兼容(win7-win10、server2008或更高版本)）。</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2.客户端软件利用网络（局域网、广域网）远程登录到服务器，支持多套客户端软件同时登录到服务器，各套客户端软件独立工作。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3.可实现终端状态查看、音频播放、监听、广播及对讲、会话状态监控等功能。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4.支持实时查看终端工作状态、音量、任务，并且可在终端状态界面设置终端音量。终端状态支持方块视图和列表视图两种模式。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5.支持创建文本广播任务，可实现将文本转成语音，支持后台调整语速、设置播放语音、循环次数的功能。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6.支持创建终端采集任务，可设置普通、中级的采集音质类型。</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7.支持创建声卡采集任务，可通过分控客户端所在电脑的声卡进行实时采播，并且支持将采播的内容进行录音存储。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8.支持创建音乐播放任务，可进行本地文件播放，可选择多首歌曲进行顺序播放或循环播放或随机播放。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9.支持进行发起监听功能，在会话状态选择监听终端，可监听某任务播放的内容。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10.支持远程对某终端/分区或全区进行实时的寻呼广播，支持选择网络寻呼话筒进行实时对讲。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11.支持分控端查看终端上下线记录，可设置终端掉线弹窗提示。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12.支持临时定时任务配置和管理，提供多种音源选择（音乐播放、声卡采集、终端采集）。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13.支持媒体文件分类分用户管理，可配置公有/私有文件夹，私有文件单独使用。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14.支持一键触发报警任务，后台预置报警任务，紧急时刻客户端一键触发。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15.支持人工报警弹窗提醒。</w:t>
            </w:r>
          </w:p>
        </w:tc>
        <w:tc>
          <w:tcPr>
            <w:tcW w:w="370" w:type="pct"/>
            <w:tcBorders>
              <w:top w:val="single" w:color="000000" w:sz="4" w:space="0"/>
              <w:left w:val="single" w:color="000000" w:sz="4" w:space="0"/>
              <w:bottom w:val="single" w:color="000000" w:sz="4" w:space="0"/>
              <w:right w:val="single" w:color="000000" w:sz="4" w:space="0"/>
            </w:tcBorders>
            <w:vAlign w:val="center"/>
          </w:tcPr>
          <w:p w14:paraId="0AA940D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FF0945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7D57F481">
        <w:tblPrEx>
          <w:tblCellMar>
            <w:top w:w="0" w:type="dxa"/>
            <w:left w:w="108" w:type="dxa"/>
            <w:bottom w:w="0" w:type="dxa"/>
            <w:right w:w="108" w:type="dxa"/>
          </w:tblCellMar>
        </w:tblPrEx>
        <w:trPr>
          <w:trHeight w:val="11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D94BE6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5E366E3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寻呼话筒</w:t>
            </w:r>
          </w:p>
        </w:tc>
        <w:tc>
          <w:tcPr>
            <w:tcW w:w="2775" w:type="pct"/>
            <w:tcBorders>
              <w:top w:val="single" w:color="000000" w:sz="4" w:space="0"/>
              <w:left w:val="nil"/>
              <w:bottom w:val="single" w:color="000000" w:sz="4" w:space="0"/>
              <w:right w:val="single" w:color="000000" w:sz="4" w:space="0"/>
            </w:tcBorders>
            <w:vAlign w:val="center"/>
          </w:tcPr>
          <w:p w14:paraId="2D8CF91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3.网络协议：支持IPv6、IPv4网络协议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8.显示屏尺寸：7英寸</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9.屏幕分辨率：800 x 480 像素</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10.屏幕类型：65K色DGUS屏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11.键盘类型：虚拟QWERTY键盘</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12.键盘输入方式：触控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13.内接扬声器阻抗及额定功率：≤4Ω，≥2W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14.总偕波失真：≤1%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15.内置喇叭频率响应：317Hz~3.4KHz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16.LIEN OUT频率响应：80Hz~16KHz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17.信噪比：&gt;65dB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18.PHONE OUT输出阻抗及额定功率：32Ω，2mW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19.LINE OUT 输出电平：1000mV 工业标准压线接线端子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20.LINE OUT 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21.LINE IN输入灵敏度：350mV  工业标准压线接线端子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22.MIC输入灵敏度（非平衡）：1≥0mV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24.短路输出：最大1A/30VDC干接点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26.工作湿度：20%～80%相对湿度，无结露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27.整机功耗：≤6W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28.输入电源：～190V-240V 50Hz-60Hz(电源适配器);DC24V/1.5A</w:t>
            </w:r>
          </w:p>
        </w:tc>
        <w:tc>
          <w:tcPr>
            <w:tcW w:w="370" w:type="pct"/>
            <w:tcBorders>
              <w:top w:val="single" w:color="000000" w:sz="4" w:space="0"/>
              <w:left w:val="single" w:color="000000" w:sz="4" w:space="0"/>
              <w:bottom w:val="single" w:color="000000" w:sz="4" w:space="0"/>
              <w:right w:val="single" w:color="000000" w:sz="4" w:space="0"/>
            </w:tcBorders>
            <w:vAlign w:val="center"/>
          </w:tcPr>
          <w:p w14:paraId="686C728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3209DD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4E92332A">
        <w:tblPrEx>
          <w:tblCellMar>
            <w:top w:w="0" w:type="dxa"/>
            <w:left w:w="108" w:type="dxa"/>
            <w:bottom w:w="0" w:type="dxa"/>
            <w:right w:w="108" w:type="dxa"/>
          </w:tblCellMar>
        </w:tblPrEx>
        <w:trPr>
          <w:trHeight w:val="12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AB3E82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52B7A09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话筒呼叫控制嵌入软件</w:t>
            </w:r>
          </w:p>
        </w:tc>
        <w:tc>
          <w:tcPr>
            <w:tcW w:w="2775" w:type="pct"/>
            <w:tcBorders>
              <w:top w:val="single" w:color="000000" w:sz="4" w:space="0"/>
              <w:left w:val="nil"/>
              <w:bottom w:val="single" w:color="000000" w:sz="4" w:space="0"/>
              <w:right w:val="single" w:color="000000" w:sz="4" w:space="0"/>
            </w:tcBorders>
            <w:vAlign w:val="center"/>
          </w:tcPr>
          <w:p w14:paraId="4EF0707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1.软件内嵌于话筒设备，实现话筒呼叫控制功能，支撑设备各项基本功能的运行。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2.授权操作管理功能，支持服务器统一配置管理用户及密码。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4.支持多种呼叫策略，包括呼叫转移、呼叫等待、无人接听提醒等。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5.支持双向对讲功能，可与另一方对讲终端实现双向语音传输功能。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6.可实现分区/全区进行喊话/广播功能。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7.支持单独调节音量。</w:t>
            </w:r>
          </w:p>
        </w:tc>
        <w:tc>
          <w:tcPr>
            <w:tcW w:w="370" w:type="pct"/>
            <w:tcBorders>
              <w:top w:val="single" w:color="000000" w:sz="4" w:space="0"/>
              <w:left w:val="single" w:color="000000" w:sz="4" w:space="0"/>
              <w:bottom w:val="single" w:color="000000" w:sz="4" w:space="0"/>
              <w:right w:val="single" w:color="000000" w:sz="4" w:space="0"/>
            </w:tcBorders>
            <w:vAlign w:val="center"/>
          </w:tcPr>
          <w:p w14:paraId="69315D2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4822D6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6E1283E">
        <w:tblPrEx>
          <w:tblCellMar>
            <w:top w:w="0" w:type="dxa"/>
            <w:left w:w="108" w:type="dxa"/>
            <w:bottom w:w="0" w:type="dxa"/>
            <w:right w:w="108" w:type="dxa"/>
          </w:tblCellMar>
        </w:tblPrEx>
        <w:trPr>
          <w:trHeight w:val="10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968F06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31216DC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IP网络音箱</w:t>
            </w:r>
          </w:p>
        </w:tc>
        <w:tc>
          <w:tcPr>
            <w:tcW w:w="2775" w:type="pct"/>
            <w:tcBorders>
              <w:top w:val="single" w:color="000000" w:sz="4" w:space="0"/>
              <w:left w:val="nil"/>
              <w:bottom w:val="single" w:color="000000" w:sz="4" w:space="0"/>
              <w:right w:val="single" w:color="000000" w:sz="4" w:space="0"/>
            </w:tcBorders>
            <w:vAlign w:val="center"/>
          </w:tcPr>
          <w:p w14:paraId="03F3C0C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14.工作电源：～190V-240V 50Hz-60Hz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15.尺寸：不大于190 x 180 x 280mm    </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C5C446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67C0F4F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2E7990CB">
        <w:tblPrEx>
          <w:tblCellMar>
            <w:top w:w="0" w:type="dxa"/>
            <w:left w:w="108" w:type="dxa"/>
            <w:bottom w:w="0" w:type="dxa"/>
            <w:right w:w="108" w:type="dxa"/>
          </w:tblCellMar>
        </w:tblPrEx>
        <w:trPr>
          <w:trHeight w:val="62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EB8A97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182F302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数字化IP网络终端嵌入软件</w:t>
            </w:r>
          </w:p>
        </w:tc>
        <w:tc>
          <w:tcPr>
            <w:tcW w:w="2775" w:type="pct"/>
            <w:tcBorders>
              <w:top w:val="single" w:color="000000" w:sz="4" w:space="0"/>
              <w:left w:val="nil"/>
              <w:bottom w:val="single" w:color="000000" w:sz="4" w:space="0"/>
              <w:right w:val="single" w:color="000000" w:sz="4" w:space="0"/>
            </w:tcBorders>
            <w:vAlign w:val="center"/>
          </w:tcPr>
          <w:p w14:paraId="0C17F09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1.软件(主)内嵌于数字化IP网络终端设备，支撑设备各项基本功能的运行。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3769FF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D6AC28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20BF58DD">
        <w:tblPrEx>
          <w:tblCellMar>
            <w:top w:w="0" w:type="dxa"/>
            <w:left w:w="108" w:type="dxa"/>
            <w:bottom w:w="0" w:type="dxa"/>
            <w:right w:w="108" w:type="dxa"/>
          </w:tblCellMar>
        </w:tblPrEx>
        <w:trPr>
          <w:trHeight w:val="9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9E5AF7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6DE9DFA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调音台</w:t>
            </w:r>
          </w:p>
        </w:tc>
        <w:tc>
          <w:tcPr>
            <w:tcW w:w="2775" w:type="pct"/>
            <w:tcBorders>
              <w:top w:val="single" w:color="000000" w:sz="4" w:space="0"/>
              <w:left w:val="nil"/>
              <w:bottom w:val="single" w:color="000000" w:sz="4" w:space="0"/>
              <w:right w:val="single" w:color="000000" w:sz="4" w:space="0"/>
            </w:tcBorders>
            <w:vAlign w:val="center"/>
          </w:tcPr>
          <w:p w14:paraId="44D5BF9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1.麦克风输入：不少于4路（4个卡侬接口）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2.线路输入：4路单插单声道/立体声自动切换混合接口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3.立体声输入：不少于4组（8路单声道）</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4.CD/Tape输入：1路CD/TAPE RCA立体声输入接口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5.输出通路：1组立体声主输出、1组辅助输出、1组立体声监听输出、1路耳机监听输出、1组CD/Tape输出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6.效果器：24位DSP效果器（包括人声、小房子、大厅、回声、回声+回响、盘子、声乐板、合唱GTR，旋转GTR、颤音GTR类型），100种预设效果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7.幻象电源：+48V带开关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9.失真度：&lt;0.003%（A-weighted）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10.麦克风均衡输入噪音：-119dB（A-weighted）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11.共模抑制比：≥360dB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12.单通道输入增益：MIC：0 to 48dB，LINE:-33 to+15dB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13.立体通道输入增益：LINE：-8 to+6dB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14.主混音串音：-87dBu（A-weighted）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15.通道串音：-85dBu（A-weighted）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16.最大输出水平：+20dBu</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17.MIC输入高通滤波：75Hz，18dB/oct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18.单通道均衡：高频：±15dB@12KHz；中频：±12dB@2.5KHz；低频：±15dB@80Hz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19.电平表：2x4-点距LED电平指示表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20.电源：外接AC18V/1A（AC 230-240V 50/60Hz）电源适配器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21.功耗：≤18W</w:t>
            </w:r>
          </w:p>
        </w:tc>
        <w:tc>
          <w:tcPr>
            <w:tcW w:w="370" w:type="pct"/>
            <w:tcBorders>
              <w:top w:val="single" w:color="000000" w:sz="4" w:space="0"/>
              <w:left w:val="single" w:color="000000" w:sz="4" w:space="0"/>
              <w:bottom w:val="single" w:color="000000" w:sz="4" w:space="0"/>
              <w:right w:val="single" w:color="000000" w:sz="4" w:space="0"/>
            </w:tcBorders>
            <w:vAlign w:val="center"/>
          </w:tcPr>
          <w:p w14:paraId="0646A5E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1 </w:t>
            </w:r>
          </w:p>
        </w:tc>
        <w:tc>
          <w:tcPr>
            <w:tcW w:w="536" w:type="pct"/>
            <w:tcBorders>
              <w:top w:val="single" w:color="000000" w:sz="4" w:space="0"/>
              <w:left w:val="single" w:color="000000" w:sz="4" w:space="0"/>
              <w:bottom w:val="single" w:color="000000" w:sz="4" w:space="0"/>
              <w:right w:val="single" w:color="000000" w:sz="4" w:space="0"/>
            </w:tcBorders>
            <w:vAlign w:val="center"/>
          </w:tcPr>
          <w:p w14:paraId="4D0F55E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0B5A4038">
        <w:tblPrEx>
          <w:tblCellMar>
            <w:top w:w="0" w:type="dxa"/>
            <w:left w:w="108" w:type="dxa"/>
            <w:bottom w:w="0" w:type="dxa"/>
            <w:right w:w="108" w:type="dxa"/>
          </w:tblCellMar>
        </w:tblPrEx>
        <w:trPr>
          <w:trHeight w:val="12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FA8FF6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820" w:type="pct"/>
            <w:tcBorders>
              <w:top w:val="single" w:color="000000" w:sz="4" w:space="0"/>
              <w:left w:val="single" w:color="000000" w:sz="4" w:space="0"/>
              <w:bottom w:val="single" w:color="000000" w:sz="4" w:space="0"/>
              <w:right w:val="single" w:color="000000" w:sz="4" w:space="0"/>
            </w:tcBorders>
            <w:vAlign w:val="center"/>
          </w:tcPr>
          <w:p w14:paraId="3D6DD85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w:t>
            </w:r>
          </w:p>
        </w:tc>
        <w:tc>
          <w:tcPr>
            <w:tcW w:w="2775" w:type="pct"/>
            <w:tcBorders>
              <w:top w:val="single" w:color="000000" w:sz="4" w:space="0"/>
              <w:left w:val="nil"/>
              <w:bottom w:val="single" w:color="000000" w:sz="4" w:space="0"/>
              <w:right w:val="single" w:color="000000" w:sz="4" w:space="0"/>
            </w:tcBorders>
            <w:vAlign w:val="center"/>
          </w:tcPr>
          <w:p w14:paraId="27A829F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1.换能方式：电容式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2.指向性：心形指向性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3.频率响应：20Hz-18KHz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4.输出阻抗：≤75Ω，平衡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5.灵敏度：-40dB±2dB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6.动态范围：109dB, 1KH at max spl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7.信噪比：≤65dB 1KHz at 1 Pa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8.供电电压：DC3V/幻象48V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9.开关：电子轻触</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10.咪杆长度：≥410mm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11.线材配置：8米双芯、卡侬母+卡侬公</w:t>
            </w:r>
          </w:p>
        </w:tc>
        <w:tc>
          <w:tcPr>
            <w:tcW w:w="370" w:type="pct"/>
            <w:tcBorders>
              <w:top w:val="single" w:color="000000" w:sz="4" w:space="0"/>
              <w:left w:val="single" w:color="000000" w:sz="4" w:space="0"/>
              <w:bottom w:val="single" w:color="000000" w:sz="4" w:space="0"/>
              <w:right w:val="single" w:color="000000" w:sz="4" w:space="0"/>
            </w:tcBorders>
            <w:vAlign w:val="center"/>
          </w:tcPr>
          <w:p w14:paraId="17AB9A7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536" w:type="pct"/>
            <w:tcBorders>
              <w:top w:val="single" w:color="000000" w:sz="4" w:space="0"/>
              <w:left w:val="single" w:color="000000" w:sz="4" w:space="0"/>
              <w:bottom w:val="single" w:color="000000" w:sz="4" w:space="0"/>
              <w:right w:val="single" w:color="000000" w:sz="4" w:space="0"/>
            </w:tcBorders>
            <w:vAlign w:val="center"/>
          </w:tcPr>
          <w:p w14:paraId="3415383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1D3FCA39">
        <w:tblPrEx>
          <w:tblCellMar>
            <w:top w:w="0" w:type="dxa"/>
            <w:left w:w="108" w:type="dxa"/>
            <w:bottom w:w="0" w:type="dxa"/>
            <w:right w:w="108" w:type="dxa"/>
          </w:tblCellMar>
        </w:tblPrEx>
        <w:trPr>
          <w:trHeight w:val="9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A82525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5A35E13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CD播放器</w:t>
            </w:r>
          </w:p>
        </w:tc>
        <w:tc>
          <w:tcPr>
            <w:tcW w:w="2775" w:type="pct"/>
            <w:tcBorders>
              <w:top w:val="single" w:color="000000" w:sz="4" w:space="0"/>
              <w:left w:val="nil"/>
              <w:bottom w:val="single" w:color="000000" w:sz="4" w:space="0"/>
              <w:right w:val="single" w:color="000000" w:sz="4" w:space="0"/>
            </w:tcBorders>
            <w:vAlign w:val="center"/>
          </w:tcPr>
          <w:p w14:paraId="66D28AE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1.电源：~220V / 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2.电源功耗：≤30W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3.尺寸：不大于484×290×44mm</w:t>
            </w:r>
          </w:p>
        </w:tc>
        <w:tc>
          <w:tcPr>
            <w:tcW w:w="370" w:type="pct"/>
            <w:tcBorders>
              <w:top w:val="single" w:color="000000" w:sz="4" w:space="0"/>
              <w:left w:val="single" w:color="000000" w:sz="4" w:space="0"/>
              <w:bottom w:val="single" w:color="000000" w:sz="4" w:space="0"/>
              <w:right w:val="single" w:color="000000" w:sz="4" w:space="0"/>
            </w:tcBorders>
            <w:vAlign w:val="center"/>
          </w:tcPr>
          <w:p w14:paraId="45476A3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1 </w:t>
            </w:r>
          </w:p>
        </w:tc>
        <w:tc>
          <w:tcPr>
            <w:tcW w:w="536" w:type="pct"/>
            <w:tcBorders>
              <w:top w:val="single" w:color="000000" w:sz="4" w:space="0"/>
              <w:left w:val="single" w:color="000000" w:sz="4" w:space="0"/>
              <w:bottom w:val="single" w:color="000000" w:sz="4" w:space="0"/>
              <w:right w:val="single" w:color="000000" w:sz="4" w:space="0"/>
            </w:tcBorders>
            <w:vAlign w:val="center"/>
          </w:tcPr>
          <w:p w14:paraId="5AA9C5C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B1C3E69">
        <w:tblPrEx>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A88FA3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820" w:type="pct"/>
            <w:tcBorders>
              <w:top w:val="single" w:color="000000" w:sz="4" w:space="0"/>
              <w:left w:val="single" w:color="000000" w:sz="4" w:space="0"/>
              <w:bottom w:val="single" w:color="000000" w:sz="4" w:space="0"/>
              <w:right w:val="single" w:color="000000" w:sz="4" w:space="0"/>
            </w:tcBorders>
            <w:vAlign w:val="center"/>
          </w:tcPr>
          <w:p w14:paraId="0D7586B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多功能音源控制嵌入软件</w:t>
            </w:r>
          </w:p>
        </w:tc>
        <w:tc>
          <w:tcPr>
            <w:tcW w:w="2775" w:type="pct"/>
            <w:tcBorders>
              <w:top w:val="single" w:color="000000" w:sz="4" w:space="0"/>
              <w:left w:val="nil"/>
              <w:bottom w:val="single" w:color="000000" w:sz="4" w:space="0"/>
              <w:right w:val="single" w:color="000000" w:sz="4" w:space="0"/>
            </w:tcBorders>
            <w:vAlign w:val="center"/>
          </w:tcPr>
          <w:p w14:paraId="7E119A5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2.支持系统+ESS解码方案，超强纠错功能。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3.支持播放CD等碟片。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4.支持读取U盘或SD卡，并且播放媒体文件。</w:t>
            </w:r>
          </w:p>
        </w:tc>
        <w:tc>
          <w:tcPr>
            <w:tcW w:w="370" w:type="pct"/>
            <w:tcBorders>
              <w:top w:val="single" w:color="000000" w:sz="4" w:space="0"/>
              <w:left w:val="single" w:color="000000" w:sz="4" w:space="0"/>
              <w:bottom w:val="single" w:color="000000" w:sz="4" w:space="0"/>
              <w:right w:val="single" w:color="000000" w:sz="4" w:space="0"/>
            </w:tcBorders>
            <w:vAlign w:val="center"/>
          </w:tcPr>
          <w:p w14:paraId="6BA3A8D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4BB0F4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9E9AB2D">
        <w:tblPrEx>
          <w:tblCellMar>
            <w:top w:w="0" w:type="dxa"/>
            <w:left w:w="108" w:type="dxa"/>
            <w:bottom w:w="0" w:type="dxa"/>
            <w:right w:w="108" w:type="dxa"/>
          </w:tblCellMar>
        </w:tblPrEx>
        <w:trPr>
          <w:trHeight w:val="4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23F1FEB">
            <w:pPr>
              <w:jc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三、前端设备</w:t>
            </w:r>
          </w:p>
        </w:tc>
      </w:tr>
      <w:tr w14:paraId="5D467F61">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509FF773">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教学楼设备</w:t>
            </w:r>
          </w:p>
        </w:tc>
        <w:tc>
          <w:tcPr>
            <w:tcW w:w="2775" w:type="pct"/>
            <w:tcBorders>
              <w:top w:val="single" w:color="000000" w:sz="4" w:space="0"/>
              <w:left w:val="nil"/>
              <w:bottom w:val="single" w:color="000000" w:sz="4" w:space="0"/>
              <w:right w:val="single" w:color="000000" w:sz="4" w:space="0"/>
            </w:tcBorders>
            <w:vAlign w:val="center"/>
          </w:tcPr>
          <w:p w14:paraId="5EBAE7DC">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5FD08B1">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8329582">
            <w:pPr>
              <w:jc w:val="center"/>
              <w:rPr>
                <w:rFonts w:hint="eastAsia" w:cs="宋体"/>
                <w:b/>
                <w:bCs/>
                <w:color w:val="000000" w:themeColor="text1"/>
                <w:szCs w:val="21"/>
                <w14:textFill>
                  <w14:solidFill>
                    <w14:schemeClr w14:val="tx1"/>
                  </w14:solidFill>
                </w14:textFill>
              </w:rPr>
            </w:pPr>
          </w:p>
        </w:tc>
      </w:tr>
      <w:tr w14:paraId="0FD9CC0B">
        <w:tblPrEx>
          <w:tblCellMar>
            <w:top w:w="0" w:type="dxa"/>
            <w:left w:w="108" w:type="dxa"/>
            <w:bottom w:w="0" w:type="dxa"/>
            <w:right w:w="108" w:type="dxa"/>
          </w:tblCellMar>
        </w:tblPrEx>
        <w:trPr>
          <w:trHeight w:val="67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7F940D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587AFB7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IP网络音箱</w:t>
            </w:r>
          </w:p>
        </w:tc>
        <w:tc>
          <w:tcPr>
            <w:tcW w:w="2775" w:type="pct"/>
            <w:tcBorders>
              <w:top w:val="single" w:color="000000" w:sz="4" w:space="0"/>
              <w:left w:val="nil"/>
              <w:bottom w:val="single" w:color="000000" w:sz="4" w:space="0"/>
              <w:right w:val="single" w:color="000000" w:sz="4" w:space="0"/>
            </w:tcBorders>
            <w:vAlign w:val="center"/>
          </w:tcPr>
          <w:p w14:paraId="3BD4D37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14.工作电源：～190V-240V 50Hz-60Hz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15.尺寸：190（±5） x 180（±5） x 280（±5）mm    </w:t>
            </w:r>
          </w:p>
        </w:tc>
        <w:tc>
          <w:tcPr>
            <w:tcW w:w="370" w:type="pct"/>
            <w:tcBorders>
              <w:top w:val="single" w:color="000000" w:sz="4" w:space="0"/>
              <w:left w:val="single" w:color="000000" w:sz="4" w:space="0"/>
              <w:bottom w:val="single" w:color="000000" w:sz="4" w:space="0"/>
              <w:right w:val="single" w:color="000000" w:sz="4" w:space="0"/>
            </w:tcBorders>
            <w:vAlign w:val="center"/>
          </w:tcPr>
          <w:p w14:paraId="7D5A9C4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74</w:t>
            </w:r>
          </w:p>
        </w:tc>
        <w:tc>
          <w:tcPr>
            <w:tcW w:w="536" w:type="pct"/>
            <w:tcBorders>
              <w:top w:val="single" w:color="000000" w:sz="4" w:space="0"/>
              <w:left w:val="single" w:color="000000" w:sz="4" w:space="0"/>
              <w:bottom w:val="single" w:color="000000" w:sz="4" w:space="0"/>
              <w:right w:val="single" w:color="000000" w:sz="4" w:space="0"/>
            </w:tcBorders>
            <w:vAlign w:val="center"/>
          </w:tcPr>
          <w:p w14:paraId="4C680A3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ABE9E12">
        <w:tblPrEx>
          <w:tblCellMar>
            <w:top w:w="0" w:type="dxa"/>
            <w:left w:w="108" w:type="dxa"/>
            <w:bottom w:w="0" w:type="dxa"/>
            <w:right w:w="108" w:type="dxa"/>
          </w:tblCellMar>
        </w:tblPrEx>
        <w:trPr>
          <w:trHeight w:val="16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0764D8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76F6DC9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数字化IP网络终端嵌入软件</w:t>
            </w:r>
          </w:p>
        </w:tc>
        <w:tc>
          <w:tcPr>
            <w:tcW w:w="2775" w:type="pct"/>
            <w:tcBorders>
              <w:top w:val="single" w:color="000000" w:sz="4" w:space="0"/>
              <w:left w:val="nil"/>
              <w:bottom w:val="single" w:color="000000" w:sz="4" w:space="0"/>
              <w:right w:val="single" w:color="000000" w:sz="4" w:space="0"/>
            </w:tcBorders>
            <w:vAlign w:val="center"/>
          </w:tcPr>
          <w:p w14:paraId="3784D57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1.软件内嵌于数字化IP网络终端设备，支撑设备各项基本功能的运行。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02A7D01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74</w:t>
            </w:r>
          </w:p>
        </w:tc>
        <w:tc>
          <w:tcPr>
            <w:tcW w:w="536" w:type="pct"/>
            <w:tcBorders>
              <w:top w:val="single" w:color="000000" w:sz="4" w:space="0"/>
              <w:left w:val="single" w:color="000000" w:sz="4" w:space="0"/>
              <w:bottom w:val="single" w:color="000000" w:sz="4" w:space="0"/>
              <w:right w:val="single" w:color="000000" w:sz="4" w:space="0"/>
            </w:tcBorders>
            <w:vAlign w:val="center"/>
          </w:tcPr>
          <w:p w14:paraId="371B9F0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76E1DB55">
        <w:tblPrEx>
          <w:tblCellMar>
            <w:top w:w="0" w:type="dxa"/>
            <w:left w:w="108" w:type="dxa"/>
            <w:bottom w:w="0" w:type="dxa"/>
            <w:right w:w="108" w:type="dxa"/>
          </w:tblCellMar>
        </w:tblPrEx>
        <w:trPr>
          <w:trHeight w:val="9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1DF6D3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29F2967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69DF46D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20739C2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02E60B7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2A525AD">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83D004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795AE50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1CEDF93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2274706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526D21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7E3BE43B">
        <w:tblPrEx>
          <w:tblCellMar>
            <w:top w:w="0" w:type="dxa"/>
            <w:left w:w="108" w:type="dxa"/>
            <w:bottom w:w="0" w:type="dxa"/>
            <w:right w:w="108" w:type="dxa"/>
          </w:tblCellMar>
        </w:tblPrEx>
        <w:trPr>
          <w:trHeight w:val="14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A4A2D9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6832EEB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74318B9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6A455E2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E0EF12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FB07652">
        <w:tblPrEx>
          <w:tblCellMar>
            <w:top w:w="0" w:type="dxa"/>
            <w:left w:w="108" w:type="dxa"/>
            <w:bottom w:w="0" w:type="dxa"/>
            <w:right w:w="108" w:type="dxa"/>
          </w:tblCellMar>
        </w:tblPrEx>
        <w:trPr>
          <w:trHeight w:val="1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565369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0764CB2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0C89F72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0B87287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0623552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0D6056EA">
        <w:tblPrEx>
          <w:tblCellMar>
            <w:top w:w="0" w:type="dxa"/>
            <w:left w:w="108" w:type="dxa"/>
            <w:bottom w:w="0" w:type="dxa"/>
            <w:right w:w="108" w:type="dxa"/>
          </w:tblCellMar>
        </w:tblPrEx>
        <w:trPr>
          <w:trHeight w:val="64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2DF083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06EF53E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IP终端</w:t>
            </w:r>
          </w:p>
        </w:tc>
        <w:tc>
          <w:tcPr>
            <w:tcW w:w="2775" w:type="pct"/>
            <w:tcBorders>
              <w:top w:val="single" w:color="000000" w:sz="4" w:space="0"/>
              <w:left w:val="nil"/>
              <w:bottom w:val="single" w:color="000000" w:sz="4" w:space="0"/>
              <w:right w:val="single" w:color="000000" w:sz="4" w:space="0"/>
            </w:tcBorders>
            <w:vAlign w:val="center"/>
          </w:tcPr>
          <w:p w14:paraId="22FC8A1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15.频率响应：80Hz～16KHz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16.整机功耗：≤2000W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17.谐波失真：≤0.3%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10F1786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0E5086B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33DEB3FB">
        <w:tblPrEx>
          <w:tblCellMar>
            <w:top w:w="0" w:type="dxa"/>
            <w:left w:w="108" w:type="dxa"/>
            <w:bottom w:w="0" w:type="dxa"/>
            <w:right w:w="108" w:type="dxa"/>
          </w:tblCellMar>
        </w:tblPrEx>
        <w:trPr>
          <w:trHeight w:val="9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A43253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820" w:type="pct"/>
            <w:tcBorders>
              <w:top w:val="single" w:color="000000" w:sz="4" w:space="0"/>
              <w:left w:val="single" w:color="000000" w:sz="4" w:space="0"/>
              <w:bottom w:val="single" w:color="000000" w:sz="4" w:space="0"/>
              <w:right w:val="single" w:color="000000" w:sz="4" w:space="0"/>
            </w:tcBorders>
            <w:vAlign w:val="center"/>
          </w:tcPr>
          <w:p w14:paraId="0D3E69B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数字化IP网络终端嵌入软件</w:t>
            </w:r>
          </w:p>
        </w:tc>
        <w:tc>
          <w:tcPr>
            <w:tcW w:w="2775" w:type="pct"/>
            <w:tcBorders>
              <w:top w:val="single" w:color="000000" w:sz="4" w:space="0"/>
              <w:left w:val="nil"/>
              <w:bottom w:val="single" w:color="000000" w:sz="4" w:space="0"/>
              <w:right w:val="single" w:color="000000" w:sz="4" w:space="0"/>
            </w:tcBorders>
            <w:vAlign w:val="center"/>
          </w:tcPr>
          <w:p w14:paraId="114BBC9C">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1.软件内嵌于数字化IP网络终端设备，支撑设备各项基本功能的运行。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0B8032C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1397DF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138738C5">
        <w:tblPrEx>
          <w:tblCellMar>
            <w:top w:w="0" w:type="dxa"/>
            <w:left w:w="108" w:type="dxa"/>
            <w:bottom w:w="0" w:type="dxa"/>
            <w:right w:w="108" w:type="dxa"/>
          </w:tblCellMar>
        </w:tblPrEx>
        <w:trPr>
          <w:trHeight w:val="11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15F867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3BD1495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前置放大器</w:t>
            </w:r>
          </w:p>
        </w:tc>
        <w:tc>
          <w:tcPr>
            <w:tcW w:w="2775" w:type="pct"/>
            <w:tcBorders>
              <w:top w:val="single" w:color="000000" w:sz="4" w:space="0"/>
              <w:left w:val="nil"/>
              <w:bottom w:val="single" w:color="000000" w:sz="4" w:space="0"/>
              <w:right w:val="single" w:color="000000" w:sz="4" w:space="0"/>
            </w:tcBorders>
            <w:vAlign w:val="center"/>
          </w:tcPr>
          <w:p w14:paraId="4B9AD63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1.话筒1-5的输入灵敏度：话筒:5mV/600Ω非平衡；线路RCA:775mV /10KΩ非平衡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2.辅助1-3输入：AUX 1.2.3: 350mV/10KΩ非平衡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3.EMC1-2输入：RAC:非平衡 200mV～1000mV/10KΩ；MIC：非平衡 5mV～25mV/600Ω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5.信噪比：MIC 输入:≤50dB； AUX输入:≤80dB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6.音调调节：低音:±10dB at 100Hz；高音:±10dB at 10KHz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8.电源功耗：≤20W</w:t>
            </w:r>
          </w:p>
        </w:tc>
        <w:tc>
          <w:tcPr>
            <w:tcW w:w="370" w:type="pct"/>
            <w:tcBorders>
              <w:top w:val="single" w:color="000000" w:sz="4" w:space="0"/>
              <w:left w:val="single" w:color="000000" w:sz="4" w:space="0"/>
              <w:bottom w:val="single" w:color="000000" w:sz="4" w:space="0"/>
              <w:right w:val="single" w:color="000000" w:sz="4" w:space="0"/>
            </w:tcBorders>
            <w:vAlign w:val="center"/>
          </w:tcPr>
          <w:p w14:paraId="2139E04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537A31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0BAFD261">
        <w:tblPrEx>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27627E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820" w:type="pct"/>
            <w:tcBorders>
              <w:top w:val="single" w:color="000000" w:sz="4" w:space="0"/>
              <w:left w:val="single" w:color="000000" w:sz="4" w:space="0"/>
              <w:bottom w:val="single" w:color="000000" w:sz="4" w:space="0"/>
              <w:right w:val="single" w:color="000000" w:sz="4" w:space="0"/>
            </w:tcBorders>
            <w:vAlign w:val="center"/>
          </w:tcPr>
          <w:p w14:paraId="348BD06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纯后级功放</w:t>
            </w:r>
          </w:p>
        </w:tc>
        <w:tc>
          <w:tcPr>
            <w:tcW w:w="2775" w:type="pct"/>
            <w:tcBorders>
              <w:top w:val="single" w:color="000000" w:sz="4" w:space="0"/>
              <w:left w:val="nil"/>
              <w:bottom w:val="single" w:color="000000" w:sz="4" w:space="0"/>
              <w:right w:val="single" w:color="000000" w:sz="4" w:space="0"/>
            </w:tcBorders>
            <w:vAlign w:val="center"/>
          </w:tcPr>
          <w:p w14:paraId="2BB10C4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1.额定输出功率：≥2000W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2.扬声器输出：4-16Ω,100V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3.输入灵敏度 &amp; 输入阻抗：775mV/10KΩ, 平衡 XLR/TRS接口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4.输出灵敏度 &amp; 输出源阻抗：775mV/470Ω, 平衡 XLR 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5.频率响应：80Hz~16kHz(+1dB, -3dB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6.信噪比：&gt;90dB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7.总谐波失真：1kHz时0.5%, 1/3 输出功率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8.散热：由前往后强制风冷，散热器温度45度时启动内置风扇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9.保护：过热, 过载&amp;短路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11.整机功耗*：≤400W</w:t>
            </w:r>
          </w:p>
        </w:tc>
        <w:tc>
          <w:tcPr>
            <w:tcW w:w="370" w:type="pct"/>
            <w:tcBorders>
              <w:top w:val="single" w:color="000000" w:sz="4" w:space="0"/>
              <w:left w:val="single" w:color="000000" w:sz="4" w:space="0"/>
              <w:bottom w:val="single" w:color="000000" w:sz="4" w:space="0"/>
              <w:right w:val="single" w:color="000000" w:sz="4" w:space="0"/>
            </w:tcBorders>
            <w:vAlign w:val="center"/>
          </w:tcPr>
          <w:p w14:paraId="42C0DC6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A3A1FA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19459743">
        <w:tblPrEx>
          <w:tblCellMar>
            <w:top w:w="0" w:type="dxa"/>
            <w:left w:w="108" w:type="dxa"/>
            <w:bottom w:w="0" w:type="dxa"/>
            <w:right w:w="108" w:type="dxa"/>
          </w:tblCellMar>
        </w:tblPrEx>
        <w:trPr>
          <w:trHeight w:val="132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9C368D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820" w:type="pct"/>
            <w:tcBorders>
              <w:top w:val="single" w:color="000000" w:sz="4" w:space="0"/>
              <w:left w:val="single" w:color="000000" w:sz="4" w:space="0"/>
              <w:bottom w:val="single" w:color="000000" w:sz="4" w:space="0"/>
              <w:right w:val="single" w:color="000000" w:sz="4" w:space="0"/>
            </w:tcBorders>
            <w:vAlign w:val="center"/>
          </w:tcPr>
          <w:p w14:paraId="682C628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壁挂音箱</w:t>
            </w:r>
          </w:p>
        </w:tc>
        <w:tc>
          <w:tcPr>
            <w:tcW w:w="2775" w:type="pct"/>
            <w:tcBorders>
              <w:top w:val="single" w:color="000000" w:sz="4" w:space="0"/>
              <w:left w:val="nil"/>
              <w:bottom w:val="single" w:color="000000" w:sz="4" w:space="0"/>
              <w:right w:val="single" w:color="000000" w:sz="4" w:space="0"/>
            </w:tcBorders>
            <w:vAlign w:val="center"/>
          </w:tcPr>
          <w:p w14:paraId="2B97B35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1．额定功率（100V）：≥3W,≥6W,≥10W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2．额定功率（70V）：≥1.5W,≥3W,≥5W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3．灵敏度：91dB±3dB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4．阻抗：COM/3.3KΩ/1.7KΩ/1KΩ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5．频率响应：130Hz-18KHz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6．喇叭单元：6.5"×1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7．防护等级：≥IP5X</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8．尺寸：不大于185×275×105mm</w:t>
            </w:r>
            <w:r>
              <w:rPr>
                <w:rFonts w:hint="eastAsia" w:cs="宋体"/>
                <w:color w:val="000000" w:themeColor="text1"/>
                <w:kern w:val="0"/>
                <w:szCs w:val="21"/>
                <w:lang w:bidi="ar"/>
                <w14:textFill>
                  <w14:solidFill>
                    <w14:schemeClr w14:val="tx1"/>
                  </w14:solidFill>
                </w14:textFill>
              </w:rPr>
              <w:br w:type="textWrapping"/>
            </w:r>
          </w:p>
        </w:tc>
        <w:tc>
          <w:tcPr>
            <w:tcW w:w="370" w:type="pct"/>
            <w:tcBorders>
              <w:top w:val="single" w:color="000000" w:sz="4" w:space="0"/>
              <w:left w:val="single" w:color="000000" w:sz="4" w:space="0"/>
              <w:bottom w:val="single" w:color="000000" w:sz="4" w:space="0"/>
              <w:right w:val="single" w:color="000000" w:sz="4" w:space="0"/>
            </w:tcBorders>
            <w:vAlign w:val="center"/>
          </w:tcPr>
          <w:p w14:paraId="512DA06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125</w:t>
            </w:r>
          </w:p>
        </w:tc>
        <w:tc>
          <w:tcPr>
            <w:tcW w:w="536" w:type="pct"/>
            <w:tcBorders>
              <w:top w:val="single" w:color="000000" w:sz="4" w:space="0"/>
              <w:left w:val="single" w:color="000000" w:sz="4" w:space="0"/>
              <w:bottom w:val="single" w:color="000000" w:sz="4" w:space="0"/>
              <w:right w:val="single" w:color="000000" w:sz="4" w:space="0"/>
            </w:tcBorders>
            <w:vAlign w:val="center"/>
          </w:tcPr>
          <w:p w14:paraId="31645AB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504E0585">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7E9F196E">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食堂、办公区设备</w:t>
            </w:r>
          </w:p>
        </w:tc>
        <w:tc>
          <w:tcPr>
            <w:tcW w:w="2775" w:type="pct"/>
            <w:tcBorders>
              <w:top w:val="single" w:color="000000" w:sz="4" w:space="0"/>
              <w:left w:val="nil"/>
              <w:bottom w:val="single" w:color="000000" w:sz="4" w:space="0"/>
              <w:right w:val="single" w:color="000000" w:sz="4" w:space="0"/>
            </w:tcBorders>
            <w:vAlign w:val="center"/>
          </w:tcPr>
          <w:p w14:paraId="1905EFEA">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A4975E3">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39DFA8F">
            <w:pPr>
              <w:jc w:val="center"/>
              <w:rPr>
                <w:rFonts w:hint="eastAsia" w:cs="宋体"/>
                <w:b/>
                <w:bCs/>
                <w:color w:val="000000" w:themeColor="text1"/>
                <w:szCs w:val="21"/>
                <w14:textFill>
                  <w14:solidFill>
                    <w14:schemeClr w14:val="tx1"/>
                  </w14:solidFill>
                </w14:textFill>
              </w:rPr>
            </w:pPr>
          </w:p>
        </w:tc>
      </w:tr>
      <w:tr w14:paraId="2470EC77">
        <w:tblPrEx>
          <w:tblCellMar>
            <w:top w:w="0" w:type="dxa"/>
            <w:left w:w="108" w:type="dxa"/>
            <w:bottom w:w="0" w:type="dxa"/>
            <w:right w:w="108" w:type="dxa"/>
          </w:tblCellMar>
        </w:tblPrEx>
        <w:trPr>
          <w:trHeight w:val="73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2FEE6E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06F8537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2429E02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15.输出功率*：≥650W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16.整机功耗**：≤130W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27.尺寸：不大于484 x 346 x 88mm</w:t>
            </w:r>
          </w:p>
        </w:tc>
        <w:tc>
          <w:tcPr>
            <w:tcW w:w="370" w:type="pct"/>
            <w:tcBorders>
              <w:top w:val="single" w:color="000000" w:sz="4" w:space="0"/>
              <w:left w:val="single" w:color="000000" w:sz="4" w:space="0"/>
              <w:bottom w:val="single" w:color="000000" w:sz="4" w:space="0"/>
              <w:right w:val="single" w:color="000000" w:sz="4" w:space="0"/>
            </w:tcBorders>
            <w:vAlign w:val="center"/>
          </w:tcPr>
          <w:p w14:paraId="148CE8B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17960DA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526FF8A7">
        <w:tblPrEx>
          <w:tblCellMar>
            <w:top w:w="0" w:type="dxa"/>
            <w:left w:w="108" w:type="dxa"/>
            <w:bottom w:w="0" w:type="dxa"/>
            <w:right w:w="108" w:type="dxa"/>
          </w:tblCellMar>
        </w:tblPrEx>
        <w:trPr>
          <w:trHeight w:val="12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213733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2A6123A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4C47349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4BDA04B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0343D3D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610A628A">
        <w:tblPrEx>
          <w:tblCellMar>
            <w:top w:w="0" w:type="dxa"/>
            <w:left w:w="108" w:type="dxa"/>
            <w:bottom w:w="0" w:type="dxa"/>
            <w:right w:w="108" w:type="dxa"/>
          </w:tblCellMar>
        </w:tblPrEx>
        <w:trPr>
          <w:trHeight w:val="10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1953A6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7CBD42B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壁挂音箱</w:t>
            </w:r>
          </w:p>
        </w:tc>
        <w:tc>
          <w:tcPr>
            <w:tcW w:w="2775" w:type="pct"/>
            <w:tcBorders>
              <w:top w:val="single" w:color="000000" w:sz="4" w:space="0"/>
              <w:left w:val="nil"/>
              <w:bottom w:val="single" w:color="000000" w:sz="4" w:space="0"/>
              <w:right w:val="single" w:color="000000" w:sz="4" w:space="0"/>
            </w:tcBorders>
            <w:vAlign w:val="center"/>
          </w:tcPr>
          <w:p w14:paraId="0AAC69A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1．额定功率（100V）：≥3W,6W,10W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2．额定功率（70V）：≥1.5W,3W,5W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3．灵敏度：91dB±3dB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4．阻抗：COM/3.3KΩ/1.7KΩ/1KΩ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5．频率响应：130Hz-18KHz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6．喇叭单元：6.5"×1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7．防护等级：≥IP5X</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8．不大于尺寸：185×275×105mm</w:t>
            </w:r>
            <w:r>
              <w:rPr>
                <w:rFonts w:hint="eastAsia" w:cs="宋体"/>
                <w:color w:val="000000" w:themeColor="text1"/>
                <w:kern w:val="0"/>
                <w:szCs w:val="21"/>
                <w:lang w:bidi="ar"/>
                <w14:textFill>
                  <w14:solidFill>
                    <w14:schemeClr w14:val="tx1"/>
                  </w14:solidFill>
                </w14:textFill>
              </w:rPr>
              <w:br w:type="textWrapping"/>
            </w:r>
          </w:p>
        </w:tc>
        <w:tc>
          <w:tcPr>
            <w:tcW w:w="370" w:type="pct"/>
            <w:tcBorders>
              <w:top w:val="single" w:color="000000" w:sz="4" w:space="0"/>
              <w:left w:val="single" w:color="000000" w:sz="4" w:space="0"/>
              <w:bottom w:val="single" w:color="000000" w:sz="4" w:space="0"/>
              <w:right w:val="single" w:color="000000" w:sz="4" w:space="0"/>
            </w:tcBorders>
            <w:vAlign w:val="center"/>
          </w:tcPr>
          <w:p w14:paraId="58F5864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43</w:t>
            </w:r>
          </w:p>
        </w:tc>
        <w:tc>
          <w:tcPr>
            <w:tcW w:w="536" w:type="pct"/>
            <w:tcBorders>
              <w:top w:val="single" w:color="000000" w:sz="4" w:space="0"/>
              <w:left w:val="single" w:color="000000" w:sz="4" w:space="0"/>
              <w:bottom w:val="single" w:color="000000" w:sz="4" w:space="0"/>
              <w:right w:val="single" w:color="000000" w:sz="4" w:space="0"/>
            </w:tcBorders>
            <w:vAlign w:val="center"/>
          </w:tcPr>
          <w:p w14:paraId="0B13BF3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7F772AA4">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7DA9CB72">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室内篮球场设备</w:t>
            </w:r>
          </w:p>
        </w:tc>
        <w:tc>
          <w:tcPr>
            <w:tcW w:w="2775" w:type="pct"/>
            <w:tcBorders>
              <w:top w:val="single" w:color="000000" w:sz="4" w:space="0"/>
              <w:left w:val="nil"/>
              <w:bottom w:val="single" w:color="000000" w:sz="4" w:space="0"/>
              <w:right w:val="single" w:color="000000" w:sz="4" w:space="0"/>
            </w:tcBorders>
            <w:vAlign w:val="center"/>
          </w:tcPr>
          <w:p w14:paraId="00A068D3">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C4FDBFA">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F08DD0F">
            <w:pPr>
              <w:jc w:val="center"/>
              <w:rPr>
                <w:rFonts w:hint="eastAsia" w:cs="宋体"/>
                <w:b/>
                <w:bCs/>
                <w:color w:val="000000" w:themeColor="text1"/>
                <w:szCs w:val="21"/>
                <w14:textFill>
                  <w14:solidFill>
                    <w14:schemeClr w14:val="tx1"/>
                  </w14:solidFill>
                </w14:textFill>
              </w:rPr>
            </w:pPr>
          </w:p>
        </w:tc>
      </w:tr>
      <w:tr w14:paraId="5073847A">
        <w:tblPrEx>
          <w:tblCellMar>
            <w:top w:w="0" w:type="dxa"/>
            <w:left w:w="108" w:type="dxa"/>
            <w:bottom w:w="0" w:type="dxa"/>
            <w:right w:w="108" w:type="dxa"/>
          </w:tblCellMar>
        </w:tblPrEx>
        <w:trPr>
          <w:trHeight w:val="136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17195D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603610F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4CCBBA8C">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39A8EEC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0CACAA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25F4363F">
        <w:tblPrEx>
          <w:tblCellMar>
            <w:top w:w="0" w:type="dxa"/>
            <w:left w:w="108" w:type="dxa"/>
            <w:bottom w:w="0" w:type="dxa"/>
            <w:right w:w="108" w:type="dxa"/>
          </w:tblCellMar>
        </w:tblPrEx>
        <w:trPr>
          <w:trHeight w:val="10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BD4CC0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718E6CA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2134846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396CB96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C44D8D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54C2E00D">
        <w:tblPrEx>
          <w:tblCellMar>
            <w:top w:w="0" w:type="dxa"/>
            <w:left w:w="108" w:type="dxa"/>
            <w:bottom w:w="0" w:type="dxa"/>
            <w:right w:w="108" w:type="dxa"/>
          </w:tblCellMar>
        </w:tblPrEx>
        <w:trPr>
          <w:trHeight w:val="41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D3EB4A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0E5773C5">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7052BE8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48654FD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0B12AE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4F2EE410">
        <w:tblPrEx>
          <w:tblCellMar>
            <w:top w:w="0" w:type="dxa"/>
            <w:left w:w="108" w:type="dxa"/>
            <w:bottom w:w="0" w:type="dxa"/>
            <w:right w:w="108" w:type="dxa"/>
          </w:tblCellMar>
        </w:tblPrEx>
        <w:trPr>
          <w:trHeight w:val="122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8D1DB1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7F6C2D0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476BAA6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3A0A476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C405AC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12CE1110">
        <w:tblPrEx>
          <w:tblCellMar>
            <w:top w:w="0" w:type="dxa"/>
            <w:left w:w="108" w:type="dxa"/>
            <w:bottom w:w="0" w:type="dxa"/>
            <w:right w:w="108" w:type="dxa"/>
          </w:tblCellMar>
        </w:tblPrEx>
        <w:trPr>
          <w:trHeight w:val="1520" w:hRule="atLeast"/>
        </w:trPr>
        <w:tc>
          <w:tcPr>
            <w:tcW w:w="497" w:type="pct"/>
            <w:tcBorders>
              <w:top w:val="single" w:color="000000" w:sz="4" w:space="0"/>
              <w:left w:val="single" w:color="000000" w:sz="4" w:space="0"/>
              <w:bottom w:val="single" w:color="000000" w:sz="4" w:space="0"/>
              <w:right w:val="single" w:color="000000" w:sz="4" w:space="0"/>
            </w:tcBorders>
            <w:noWrap/>
            <w:vAlign w:val="center"/>
          </w:tcPr>
          <w:p w14:paraId="7CABB79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noWrap/>
            <w:vAlign w:val="center"/>
          </w:tcPr>
          <w:p w14:paraId="1FB4E44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前置放大器</w:t>
            </w:r>
          </w:p>
        </w:tc>
        <w:tc>
          <w:tcPr>
            <w:tcW w:w="2775" w:type="pct"/>
            <w:tcBorders>
              <w:top w:val="single" w:color="000000" w:sz="4" w:space="0"/>
              <w:left w:val="single" w:color="000000" w:sz="4" w:space="0"/>
              <w:bottom w:val="single" w:color="000000" w:sz="4" w:space="0"/>
              <w:right w:val="single" w:color="000000" w:sz="4" w:space="0"/>
            </w:tcBorders>
            <w:vAlign w:val="center"/>
          </w:tcPr>
          <w:p w14:paraId="499325B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1.标准机柜式设计（2U）</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2.具有5路话筒（MIC）输入，3路标准信号线路（AUX）输入，2路紧急线路（EMC）输入；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3.MIC 5具有最高优先、强行切入优先功能；MIC 5和EMC最高优先权限功能可通过拔动开关交替选择，客户可根据使用情况选择优先；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4.紧急输入线路具有二级优先，强行切入优先功能；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5.MIC1、2、3、4、5 和2路紧急输入（EMC）通道均附设有线路辅助输入接口功能；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6.MIC1、2、3、4和AUX1、2、3可交叉混合输出；其中MIC1灵敏度可根据项目现场应用通过电位器灵活调节。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7.话筒（MIC）输入通道和线路（AUX）输入通道均可独立调校音量，并设有总音量控制旋钮；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8.设有高音（TREBLE）和低音（BASS）独立调节；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9.具有默音深度调节旋钮和EMC输入增益调节旋钮。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1.话筒1-5的输入灵敏度：话筒:5mV/600Ω非平衡；线路RCA:775mV /10KΩ非平衡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2.辅助1-3输入：AUX 1.2.3: 350mV/10KΩ非平衡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3.EMC1-2输入：RAC:非平衡 200mV～1000mV/10KΩ；MIC：非平衡 5mV～25mV/600Ω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5.信噪比：MIC 输入:≤50dB； AUX输入:≤80dB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6.音调调节：低音:±10dB at 100Hz；高音:±10dB at 10KHz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7.电源：～220V/50Hz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8.电源功耗：≤20W</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BEA5BF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C9512D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169C7E7A">
        <w:tblPrEx>
          <w:tblCellMar>
            <w:top w:w="0" w:type="dxa"/>
            <w:left w:w="108" w:type="dxa"/>
            <w:bottom w:w="0" w:type="dxa"/>
            <w:right w:w="108" w:type="dxa"/>
          </w:tblCellMar>
        </w:tblPrEx>
        <w:trPr>
          <w:trHeight w:val="102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2F6687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30FF881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无线话筒</w:t>
            </w:r>
          </w:p>
        </w:tc>
        <w:tc>
          <w:tcPr>
            <w:tcW w:w="2775" w:type="pct"/>
            <w:tcBorders>
              <w:top w:val="single" w:color="000000" w:sz="4" w:space="0"/>
              <w:left w:val="single" w:color="000000" w:sz="4" w:space="0"/>
              <w:bottom w:val="single" w:color="000000" w:sz="4" w:space="0"/>
              <w:right w:val="single" w:color="000000" w:sz="4" w:space="0"/>
            </w:tcBorders>
            <w:vAlign w:val="center"/>
          </w:tcPr>
          <w:p w14:paraId="0FA193C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功能特点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1.基于数字U段的传输技术，pi/4-DQPSK调制方式，采用国产主控芯片，传输距离80米；具有混响、均衡、智能静音、音频加密、功率调节功能。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2.具有1台接收主机、2只手持发射机；频率范围470MHz-510MHz、540MHz-590MHz、640MHz-690MHz、807MHz-830MHz四个频段使用。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3.具有音频加密功能，开启后发射机与接收机通过独特的ID码导频加密技术，达到设备不串频的效果。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4.具有多频段均衡调节功能，均衡调节2197种，麦克风均衡器调节功能，具有高、中、低音三种调节档位，每种效果支持13档调节。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5.具有自动静音功能，麦克风跌落、抛掷时，毫秒级自动静音，避免冲击声；实时监测设备姿态，静置5秒静音，8分钟关机，无需手动干预。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6.具有自动频率扫描功能，可快速地给发射机找到清晰的频率。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7.具有通过红外扫描和同步，将发射机与接收机轻松配对。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8.具有多档位混响调节功能，效果占比、回响延时、混响幅度调节，三种音效各具有多档调节方式。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9.接收机具有两路平衡输出、一路非平衡混音输出，满足用户不同需求。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接收机前面板具有2个显示屏、2个编码旋钮、2个频率扫描实体按键、2个红外对频实体按键、1个电源开关按键、1个二合一指示灯（红外发射管+对频指示灯）；后面板具有1个LINE-OUT接口、2个XLR-OUT接口、2个BNC接口、1个DC接口。发射机具有1个OLED显示屏、1个开关机/静音按键、2个工作状态指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接收机具有2个2.2英寸的TFT-LCD显示屏,用户可通过显示屏查看设备射频信号强度、音频信号强度、麦克风开启状态、手持麦克风电池电量情况、当前频率数值、音量大小、语言切换选项等，可轻松获取设备当前信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12.发射机具有0.96英寸OLED显示屏，能够显示频率信息、音频加密状态、功率挡位、静音状态、电量格数信息。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13.发射机具有长时间自动关机功能，设备自动检测工作状态（使用状态、静置状态），静置5秒后发射机自动静音、静置8分钟后发射机自动关机。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14.具有一键静音按键，麦克风支持双击静音且可以通过接收机取消麦克风静音功能。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15.接收机面板精湛工艺制作，大气美观；话筒采用高还原动圈咪芯，专业音腔设计，音质呈现自然原声。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16.具有ID码防串扰功能，采用32位唯一ID码，用于接收和发射配对，收发ID码必须相同才能对码，能够有效防止相同频率的信号相互串台。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17.发射机使用时长大于等于10小时。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18.发射机电量过低时接收机显示屏会进行低电提醒。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19.发射机功率档位支持多档可调节。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系统指标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1.频率范围：470MHz-510MHz、540MHz-590MHz、640MHz-690MHz、807MHz-830MHz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2.调制方式：pi/4-DQPSK</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3.频率响应：20Hz~20kHz （±3dB）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4.信噪比：≥105dB（XLR）</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5.THD+N：＜0.1%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6.工作距离：约80m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接收机指标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1.显示屏：TFT-LCD屏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2.显示屏分辨率：240×3RGB×320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3.失真度：&lt;0.05%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4.天线接口：BNC/50Ω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5.接收灵敏度：＜-95dBm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6.最大输出：平衡输出500mV，非平衡输出1000mV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7.电源：DC 12V/1A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8.工作电流：≤320mA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9.体积(L×W×H)：不大于443×212×44mm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发射机指标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1.显示屏：OLED屏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2.显示屏分辨率：128×64</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3.音头：动圈式麦克风（双手持话筒）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4.输出功率：≥10dBm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5.工作电流：≤200mA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6.电池：2×1.5V(AA)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7.电池使用时长：&gt;10H</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8.体积(包括话筒头)：不大于245mm×39mm</w:t>
            </w:r>
          </w:p>
        </w:tc>
        <w:tc>
          <w:tcPr>
            <w:tcW w:w="370" w:type="pct"/>
            <w:tcBorders>
              <w:top w:val="single" w:color="000000" w:sz="4" w:space="0"/>
              <w:left w:val="single" w:color="000000" w:sz="4" w:space="0"/>
              <w:bottom w:val="single" w:color="000000" w:sz="4" w:space="0"/>
              <w:right w:val="single" w:color="000000" w:sz="4" w:space="0"/>
            </w:tcBorders>
            <w:vAlign w:val="center"/>
          </w:tcPr>
          <w:p w14:paraId="2FEB631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536" w:type="pct"/>
            <w:tcBorders>
              <w:top w:val="single" w:color="000000" w:sz="4" w:space="0"/>
              <w:left w:val="single" w:color="000000" w:sz="4" w:space="0"/>
              <w:bottom w:val="single" w:color="000000" w:sz="4" w:space="0"/>
              <w:right w:val="single" w:color="000000" w:sz="4" w:space="0"/>
            </w:tcBorders>
            <w:vAlign w:val="center"/>
          </w:tcPr>
          <w:p w14:paraId="438BDA3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748D1400">
        <w:tblPrEx>
          <w:tblCellMar>
            <w:top w:w="0" w:type="dxa"/>
            <w:left w:w="108" w:type="dxa"/>
            <w:bottom w:w="0" w:type="dxa"/>
            <w:right w:w="108" w:type="dxa"/>
          </w:tblCellMar>
        </w:tblPrEx>
        <w:trPr>
          <w:trHeight w:val="13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EF8496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7A23A94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话筒呼叫控制嵌入软件</w:t>
            </w:r>
          </w:p>
        </w:tc>
        <w:tc>
          <w:tcPr>
            <w:tcW w:w="2775" w:type="pct"/>
            <w:tcBorders>
              <w:top w:val="single" w:color="000000" w:sz="4" w:space="0"/>
              <w:left w:val="nil"/>
              <w:bottom w:val="single" w:color="000000" w:sz="4" w:space="0"/>
              <w:right w:val="single" w:color="000000" w:sz="4" w:space="0"/>
            </w:tcBorders>
            <w:vAlign w:val="center"/>
          </w:tcPr>
          <w:p w14:paraId="66AF8F5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1.软件内嵌于无线话筒系统设备，话筒呼叫控制功能。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2.采用UHF超高频段双真分集接收，并采用PLL锁相环多信道频率合成技术。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3.支持自动选讯接收方式。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4.支持信道选择、频率可调、可设置主机与话筒配对。</w:t>
            </w:r>
          </w:p>
        </w:tc>
        <w:tc>
          <w:tcPr>
            <w:tcW w:w="370" w:type="pct"/>
            <w:tcBorders>
              <w:top w:val="single" w:color="000000" w:sz="4" w:space="0"/>
              <w:left w:val="single" w:color="000000" w:sz="4" w:space="0"/>
              <w:bottom w:val="single" w:color="000000" w:sz="4" w:space="0"/>
              <w:right w:val="single" w:color="000000" w:sz="4" w:space="0"/>
            </w:tcBorders>
            <w:vAlign w:val="center"/>
          </w:tcPr>
          <w:p w14:paraId="4EEF903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536" w:type="pct"/>
            <w:tcBorders>
              <w:top w:val="single" w:color="000000" w:sz="4" w:space="0"/>
              <w:left w:val="single" w:color="000000" w:sz="4" w:space="0"/>
              <w:bottom w:val="single" w:color="000000" w:sz="4" w:space="0"/>
              <w:right w:val="single" w:color="000000" w:sz="4" w:space="0"/>
            </w:tcBorders>
            <w:vAlign w:val="center"/>
          </w:tcPr>
          <w:p w14:paraId="7848B7D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5D781F57">
        <w:tblPrEx>
          <w:tblCellMar>
            <w:top w:w="0" w:type="dxa"/>
            <w:left w:w="108" w:type="dxa"/>
            <w:bottom w:w="0" w:type="dxa"/>
            <w:right w:w="108" w:type="dxa"/>
          </w:tblCellMar>
        </w:tblPrEx>
        <w:trPr>
          <w:trHeight w:val="93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155A54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4615553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话筒天线</w:t>
            </w:r>
          </w:p>
        </w:tc>
        <w:tc>
          <w:tcPr>
            <w:tcW w:w="2775" w:type="pct"/>
            <w:tcBorders>
              <w:top w:val="single" w:color="000000" w:sz="4" w:space="0"/>
              <w:left w:val="nil"/>
              <w:bottom w:val="single" w:color="000000" w:sz="4" w:space="0"/>
              <w:right w:val="single" w:color="000000" w:sz="4" w:space="0"/>
            </w:tcBorders>
            <w:vAlign w:val="center"/>
          </w:tcPr>
          <w:p w14:paraId="3C2AC0D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1。在有源的状态下，天线在直线距离可接收约 150-200 米的信号。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2.此天线带有放大器增益调节档位，当放大倍数超高时，可通过调节降低档位来防止自激现象。且有信号过强提示灯，指示灯阈值：-5dBm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3．天线接收频段广，可接收 470-950MHZ 的频率。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4．此产品指向性天线安装方便，简易，有适当防水功能。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1.供电电压：DC 8～12V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2.频率范围：470～950MHz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3.最大增益：≥7.5dBi</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4.电压驻波比：≤2.0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5.极化方式：线极化</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6.输入阻抗：50Ω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7.接头型号：BNC 母头母针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8.工作温度：-18～+63℃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9.放大器OIP3：＞38dBm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10.指向性：90°指向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11.天线尺寸：不大于305*290*35.3mm</w:t>
            </w:r>
          </w:p>
        </w:tc>
        <w:tc>
          <w:tcPr>
            <w:tcW w:w="370" w:type="pct"/>
            <w:tcBorders>
              <w:top w:val="single" w:color="000000" w:sz="4" w:space="0"/>
              <w:left w:val="single" w:color="000000" w:sz="4" w:space="0"/>
              <w:bottom w:val="single" w:color="000000" w:sz="4" w:space="0"/>
              <w:right w:val="single" w:color="000000" w:sz="4" w:space="0"/>
            </w:tcBorders>
            <w:vAlign w:val="center"/>
          </w:tcPr>
          <w:p w14:paraId="3BC7DD4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536" w:type="pct"/>
            <w:tcBorders>
              <w:top w:val="single" w:color="000000" w:sz="4" w:space="0"/>
              <w:left w:val="single" w:color="000000" w:sz="4" w:space="0"/>
              <w:bottom w:val="single" w:color="000000" w:sz="4" w:space="0"/>
              <w:right w:val="single" w:color="000000" w:sz="4" w:space="0"/>
            </w:tcBorders>
            <w:vAlign w:val="center"/>
          </w:tcPr>
          <w:p w14:paraId="3D4CAA8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780FC76">
        <w:tblPrEx>
          <w:tblCellMar>
            <w:top w:w="0" w:type="dxa"/>
            <w:left w:w="108" w:type="dxa"/>
            <w:bottom w:w="0" w:type="dxa"/>
            <w:right w:w="108" w:type="dxa"/>
          </w:tblCellMar>
        </w:tblPrEx>
        <w:trPr>
          <w:trHeight w:val="1580" w:hRule="atLeast"/>
        </w:trPr>
        <w:tc>
          <w:tcPr>
            <w:tcW w:w="497" w:type="pct"/>
            <w:tcBorders>
              <w:top w:val="single" w:color="000000" w:sz="4" w:space="0"/>
              <w:left w:val="single" w:color="000000" w:sz="4" w:space="0"/>
              <w:bottom w:val="single" w:color="000000" w:sz="4" w:space="0"/>
              <w:right w:val="single" w:color="000000" w:sz="4" w:space="0"/>
            </w:tcBorders>
            <w:noWrap/>
            <w:vAlign w:val="center"/>
          </w:tcPr>
          <w:p w14:paraId="12E5304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820" w:type="pct"/>
            <w:tcBorders>
              <w:top w:val="single" w:color="000000" w:sz="4" w:space="0"/>
              <w:left w:val="single" w:color="000000" w:sz="4" w:space="0"/>
              <w:bottom w:val="single" w:color="000000" w:sz="4" w:space="0"/>
              <w:right w:val="single" w:color="000000" w:sz="4" w:space="0"/>
            </w:tcBorders>
            <w:vAlign w:val="center"/>
          </w:tcPr>
          <w:p w14:paraId="1EEC4DC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天线放大器</w:t>
            </w:r>
          </w:p>
        </w:tc>
        <w:tc>
          <w:tcPr>
            <w:tcW w:w="2775" w:type="pct"/>
            <w:tcBorders>
              <w:top w:val="single" w:color="000000" w:sz="4" w:space="0"/>
              <w:left w:val="nil"/>
              <w:bottom w:val="single" w:color="000000" w:sz="4" w:space="0"/>
              <w:right w:val="single" w:color="000000" w:sz="4" w:space="0"/>
            </w:tcBorders>
            <w:vAlign w:val="center"/>
          </w:tcPr>
          <w:p w14:paraId="021F521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1.能够对射频信号进行放大处理，以补偿线路损耗，延长天线到接收机的传输距离，有效增加接收距离和信号传输的稳定性。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2.在应用频段内提供约20dB的增益。</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3.设备支持通过分配器、电源适配器多种供电方式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1.频率范围 ：470MHZ-950MHZ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2.噪声：≤2dB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3.电压驻波比：输入小于3:1；输出小于3:1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4.端子 ：BNC</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5.供电：12V DC/1A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6.增益：≥20dB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7.外形尺寸（L×W×H）：不大于70×68×26mm</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490979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50D6A29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21416D6E">
        <w:tblPrEx>
          <w:tblCellMar>
            <w:top w:w="0" w:type="dxa"/>
            <w:left w:w="108" w:type="dxa"/>
            <w:bottom w:w="0" w:type="dxa"/>
            <w:right w:w="108" w:type="dxa"/>
          </w:tblCellMar>
        </w:tblPrEx>
        <w:trPr>
          <w:trHeight w:val="1320" w:hRule="atLeast"/>
        </w:trPr>
        <w:tc>
          <w:tcPr>
            <w:tcW w:w="497" w:type="pct"/>
            <w:tcBorders>
              <w:top w:val="single" w:color="000000" w:sz="4" w:space="0"/>
              <w:left w:val="single" w:color="000000" w:sz="4" w:space="0"/>
              <w:bottom w:val="single" w:color="000000" w:sz="4" w:space="0"/>
              <w:right w:val="single" w:color="000000" w:sz="4" w:space="0"/>
            </w:tcBorders>
            <w:noWrap/>
            <w:vAlign w:val="center"/>
          </w:tcPr>
          <w:p w14:paraId="4FA7063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820" w:type="pct"/>
            <w:tcBorders>
              <w:top w:val="single" w:color="000000" w:sz="4" w:space="0"/>
              <w:left w:val="single" w:color="000000" w:sz="4" w:space="0"/>
              <w:bottom w:val="single" w:color="000000" w:sz="4" w:space="0"/>
              <w:right w:val="single" w:color="000000" w:sz="4" w:space="0"/>
            </w:tcBorders>
            <w:vAlign w:val="center"/>
          </w:tcPr>
          <w:p w14:paraId="768C812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天线耦合器</w:t>
            </w:r>
          </w:p>
        </w:tc>
        <w:tc>
          <w:tcPr>
            <w:tcW w:w="2775" w:type="pct"/>
            <w:tcBorders>
              <w:top w:val="single" w:color="000000" w:sz="4" w:space="0"/>
              <w:left w:val="nil"/>
              <w:bottom w:val="single" w:color="000000" w:sz="4" w:space="0"/>
              <w:right w:val="single" w:color="000000" w:sz="4" w:space="0"/>
            </w:tcBorders>
            <w:vAlign w:val="center"/>
          </w:tcPr>
          <w:p w14:paraId="5376934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1.宽带设计，在应用频率范围内提供高隔离度，防止信号相互干扰。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2.在系统中，通过此耦合器方便转接和安装。</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3.可使用多组耦合器进行拓展覆盖区域。</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4.耦合器在线路中有隔离杂讯的功能，防止自激。</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1.频率范围：470MHZ-950MHZ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2.插入损耗：≤-7</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3.隔离度：≥15dB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4.特性阻抗：≤50Ω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5.端口类型：BNC</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CD3CF5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A6EBF4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604FEFB9">
        <w:tblPrEx>
          <w:tblCellMar>
            <w:top w:w="0" w:type="dxa"/>
            <w:left w:w="108" w:type="dxa"/>
            <w:bottom w:w="0" w:type="dxa"/>
            <w:right w:w="108" w:type="dxa"/>
          </w:tblCellMar>
        </w:tblPrEx>
        <w:trPr>
          <w:trHeight w:val="10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43CD41F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w:t>
            </w:r>
          </w:p>
        </w:tc>
        <w:tc>
          <w:tcPr>
            <w:tcW w:w="820" w:type="pct"/>
            <w:tcBorders>
              <w:top w:val="single" w:color="000000" w:sz="4" w:space="0"/>
              <w:left w:val="single" w:color="000000" w:sz="4" w:space="0"/>
              <w:bottom w:val="single" w:color="000000" w:sz="4" w:space="0"/>
              <w:right w:val="single" w:color="000000" w:sz="4" w:space="0"/>
            </w:tcBorders>
            <w:vAlign w:val="center"/>
          </w:tcPr>
          <w:p w14:paraId="4D2F713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音柱</w:t>
            </w:r>
          </w:p>
        </w:tc>
        <w:tc>
          <w:tcPr>
            <w:tcW w:w="2775" w:type="pct"/>
            <w:tcBorders>
              <w:top w:val="single" w:color="000000" w:sz="4" w:space="0"/>
              <w:left w:val="nil"/>
              <w:bottom w:val="single" w:color="000000" w:sz="4" w:space="0"/>
              <w:right w:val="single" w:color="000000" w:sz="4" w:space="0"/>
            </w:tcBorders>
            <w:vAlign w:val="center"/>
          </w:tcPr>
          <w:p w14:paraId="77E94E6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1.外壳采用铝合金材料，配可调节多种角度支架，安装方便；专业的表面处理工艺，防水防锈；匹配2路扬声器单元，音质更好。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1.额定功率（100V）：≥22.5W,45W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2.额定功率（70V）：≥11.2W,22.5W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3.灵敏度：91dB±3dB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4.阻抗：黑:COM白:440Ω绿:220Ω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5.频率响应：50Hz-18KHz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6.喇叭单元：4"×4,2.5"×1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7.防护等级：≥IP66</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8.尺寸：不大于150×125×565mm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9.材料：铝合金</w:t>
            </w:r>
          </w:p>
        </w:tc>
        <w:tc>
          <w:tcPr>
            <w:tcW w:w="370" w:type="pct"/>
            <w:tcBorders>
              <w:top w:val="single" w:color="000000" w:sz="4" w:space="0"/>
              <w:left w:val="single" w:color="000000" w:sz="4" w:space="0"/>
              <w:bottom w:val="single" w:color="000000" w:sz="4" w:space="0"/>
              <w:right w:val="single" w:color="000000" w:sz="4" w:space="0"/>
            </w:tcBorders>
            <w:vAlign w:val="center"/>
          </w:tcPr>
          <w:p w14:paraId="29648F9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16</w:t>
            </w:r>
          </w:p>
        </w:tc>
        <w:tc>
          <w:tcPr>
            <w:tcW w:w="536" w:type="pct"/>
            <w:tcBorders>
              <w:top w:val="single" w:color="000000" w:sz="4" w:space="0"/>
              <w:left w:val="single" w:color="000000" w:sz="4" w:space="0"/>
              <w:bottom w:val="single" w:color="000000" w:sz="4" w:space="0"/>
              <w:right w:val="single" w:color="000000" w:sz="4" w:space="0"/>
            </w:tcBorders>
            <w:vAlign w:val="center"/>
          </w:tcPr>
          <w:p w14:paraId="5A9C834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48159C09">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7FF11762">
            <w:pPr>
              <w:rPr>
                <w:rFonts w:hint="eastAsia" w:cs="宋体"/>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室外运动场设备</w:t>
            </w:r>
          </w:p>
        </w:tc>
        <w:tc>
          <w:tcPr>
            <w:tcW w:w="2775" w:type="pct"/>
            <w:tcBorders>
              <w:top w:val="single" w:color="000000" w:sz="4" w:space="0"/>
              <w:left w:val="nil"/>
              <w:bottom w:val="single" w:color="000000" w:sz="4" w:space="0"/>
              <w:right w:val="single" w:color="000000" w:sz="4" w:space="0"/>
            </w:tcBorders>
            <w:vAlign w:val="center"/>
          </w:tcPr>
          <w:p w14:paraId="0E31289F">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4704E63">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629683E0">
            <w:pPr>
              <w:jc w:val="center"/>
              <w:rPr>
                <w:rFonts w:hint="eastAsia" w:cs="宋体"/>
                <w:b/>
                <w:bCs/>
                <w:color w:val="000000" w:themeColor="text1"/>
                <w:szCs w:val="21"/>
                <w14:textFill>
                  <w14:solidFill>
                    <w14:schemeClr w14:val="tx1"/>
                  </w14:solidFill>
                </w14:textFill>
              </w:rPr>
            </w:pPr>
          </w:p>
        </w:tc>
      </w:tr>
      <w:tr w14:paraId="77ACF0E4">
        <w:tblPrEx>
          <w:tblCellMar>
            <w:top w:w="0" w:type="dxa"/>
            <w:left w:w="108" w:type="dxa"/>
            <w:bottom w:w="0" w:type="dxa"/>
            <w:right w:w="108" w:type="dxa"/>
          </w:tblCellMar>
        </w:tblPrEx>
        <w:trPr>
          <w:trHeight w:val="15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831494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414D048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7FE9522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1.机架设计，氧化铝拉丝面板.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2.LCD显示屏，可以清晰显示大多数点阵图案和机器工作状态；支持红外功能，搭配红外遥控器可实现点播服务器节目库任意内容、可控制播放/暂停。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3.设备采用嵌入式计算机技术和DSP音频处理技术设计。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4.内置1路网络硬件音频解码模块，支持TCP/IP、UDP，实现网络化传输16位CD音质的音频信号。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5.内置高保真专业数字功放，具有350W定压100V功率输出。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6.1路线路（AUX）和1路话筒（MIC）输入接口，具有独立的音量和高低音调节电位器控制，支持断网本地寻呼功能。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7.1路EMC输入接口，输入紧急报警语音信号为直通，具有最高优先级。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8.1路音频信号辅助输出接口，可扩展外接功率放大器。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9.1路三线制音控强切输出接口，无需强切电源。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10.内置智能电源管理，无音乐或呼叫时，自动切断功放电源，有信号时自动打开功放电源，支持IP软件编程预打开功放电源功能。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11.内置3级优先设置：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EMC为最高优先。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网络报警信号优先MIC,AUX和网络背景音乐信号。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MIC优先AUX和网络背景音乐信号。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AUX和网络背景音乐为同级，无任何优先。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12.支持缄默强度预置减少功能，支持背景伴奏预置功能；支持状态灯显示，包括电平指示灯、保护指示灯、待机指示灯等。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13.兼容路由器、交换机、网桥网关、Modem、Internet、2G、3G、4G等任意网络结构。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14.数字化产品，扩容方便，不受地理位置限制，无需增加机房管理设备，采用共网免线路施工的设计理念，安装简便。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15.支持广播系统对终端进行远程固件升级，无需到终端本地升级，减轻维护人员工作强度。</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16.具有USB播放功能，接入U盘。搭配红外遥控器可实现播放任意一首歌曲和播放上一曲、下一曲、暂停、停止等功能（或选择面板按键操作）。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17.一路短路输入，可以用作触发预置语音提示（或报警），亦可用于控制门禁联动输入短路信号。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18.自带1路100V定压功率备份输入接口，可灵活组成一主多备、多主一备、多主多备的高可靠公共打铃系统。</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19.内置高性能主/备切换检测模块，断网断电以及本机故障时0.3秒内切换到备份功率输入。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12B40C5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BC1C17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06B308D3">
        <w:tblPrEx>
          <w:tblCellMar>
            <w:top w:w="0" w:type="dxa"/>
            <w:left w:w="108" w:type="dxa"/>
            <w:bottom w:w="0" w:type="dxa"/>
            <w:right w:w="108" w:type="dxa"/>
          </w:tblCellMar>
        </w:tblPrEx>
        <w:trPr>
          <w:trHeight w:val="11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3E7115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2F2FD7C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60D3368D">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1855C33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99F4B7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12DAE457">
        <w:tblPrEx>
          <w:tblCellMar>
            <w:top w:w="0" w:type="dxa"/>
            <w:left w:w="108" w:type="dxa"/>
            <w:bottom w:w="0" w:type="dxa"/>
            <w:right w:w="108" w:type="dxa"/>
          </w:tblCellMar>
        </w:tblPrEx>
        <w:trPr>
          <w:trHeight w:val="12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7A3D9C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7A818F9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IP网络功放终端</w:t>
            </w:r>
          </w:p>
        </w:tc>
        <w:tc>
          <w:tcPr>
            <w:tcW w:w="2775" w:type="pct"/>
            <w:tcBorders>
              <w:top w:val="single" w:color="000000" w:sz="4" w:space="0"/>
              <w:left w:val="nil"/>
              <w:bottom w:val="single" w:color="000000" w:sz="4" w:space="0"/>
              <w:right w:val="single" w:color="000000" w:sz="4" w:space="0"/>
            </w:tcBorders>
            <w:vAlign w:val="center"/>
          </w:tcPr>
          <w:p w14:paraId="69BE41A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1.机架设计，氧化铝拉丝面板.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2.LCD显示屏，可以清晰显示大多数点阵图案和机器工作状态；支持红外功能，搭配红外遥控器可实现点播服务器节目库任意内容、可控制播放/暂停。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3.设备采用嵌入式计算机技术和DSP音频处理技术设计。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4.内置1路网络硬件音频解码模块，支持TCP/IP、UDP，实现网络化传输16位CD音质的音频信号。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5.内置高保真专业数字功放，具有350W定压100V功率输出。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6.1路线路（AUX）和1路话筒（MIC）输入接口，具有独立的音量和高低音调节电位器控制，支持断网本地寻呼功能。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7.1路EMC输入接口，输入紧急报警语音信号为直通，具有最高优先级。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8.1路音频信号辅助输出接口，可扩展外接功率放大器。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9.1路三线制音控强切输出接口，无需强切电源。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10.内置智能电源管理，无音乐或呼叫时，自动切断功放电源，有信号时自动打开功放电源，支持IP软件编程预打开功放电源功能。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11.内置3级优先设置：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EMC为最高优先。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网络报警信号优先MIC,AUX和网络背景音乐信号。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MIC优先AUX和网络背景音乐信号。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AUX和网络背景音乐为同级，无任何优先。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12.支持缄默强度预置减少功能，支持背景伴奏预置功能；支持状态灯显示，包括电平指示灯、保护指示灯、待机指示灯等。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13.兼容路由器、交换机、网桥网关、Modem、Internet、2G、3G、4G等任意网络结构。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14.数字化产品，扩容方便，不受地理位置限制，无需增加机房管理设备，采用共网免线路施工的设计理念，安装简便。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15.支持广播系统对终端进行远程固件升级，无需到终端本地升级，减轻维护人员工作强度。</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16.具有USB播放功能，接入U盘。搭配红外遥控器可实现播放任意一首歌曲和播放上一曲、下一曲、暂停、停止等功能（或选择面板按键操作）。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17.一路短路输入，可以用作触发预置语音提示（或报警），亦可用于控制门禁联动输入短路信号。</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18.自带1路100V定压功率备份输入接口，可灵活组成一主多备、多主一备、多主多备的高可靠公共打铃系统。</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19.内置高性能主/备切换检测模块，断网断电以及本机故障时0.3秒内切换到备份功率输入。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1.网络接口：标准RJ45输入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2.传输速率：≥100Mbps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3.支持协议：TCP/IP，UDP</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4.音频格式：MP3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5.音频模式：16位CD音质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6.采样率：8kHz～48kHz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7.EMC输入灵敏度：≥775mV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8.AUX输入灵敏度：≥350mV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9.MIC输入灵敏度：≥5mV   (非平衡）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10.AUX输出幅度：≥1000mV  2路莲花座输出接口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11.AUX输出阻抗：≤470Ω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12.高音提升、衰减：±10dB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13.低音提升、衰减：±10dB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14.USB接口：最大支持16G内存U盘接入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15.输出功率*：≥350W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16.整机功耗**：≤100W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17.待机功耗：＜10W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18.频率响应：80Hz～16kHz   +1/-3dB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19.谐波失真：≤1%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20.信噪比：＞65dB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21.输出方式：100V定压输出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22.短路输入：干接点输入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23.保护电路：直流输出、过载、过温、短路保护电路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24.工作环境温度：5℃～40℃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25.工作环境湿度：20%～80%相对湿度，无结露</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26.输入电源：~220V 50Hz</w:t>
            </w:r>
          </w:p>
        </w:tc>
        <w:tc>
          <w:tcPr>
            <w:tcW w:w="370" w:type="pct"/>
            <w:tcBorders>
              <w:top w:val="single" w:color="000000" w:sz="4" w:space="0"/>
              <w:left w:val="single" w:color="000000" w:sz="4" w:space="0"/>
              <w:bottom w:val="single" w:color="000000" w:sz="4" w:space="0"/>
              <w:right w:val="single" w:color="000000" w:sz="4" w:space="0"/>
            </w:tcBorders>
            <w:vAlign w:val="center"/>
          </w:tcPr>
          <w:p w14:paraId="73B43BA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4D0EC0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2401CAFF">
        <w:tblPrEx>
          <w:tblCellMar>
            <w:top w:w="0" w:type="dxa"/>
            <w:left w:w="108" w:type="dxa"/>
            <w:bottom w:w="0" w:type="dxa"/>
            <w:right w:w="108" w:type="dxa"/>
          </w:tblCellMar>
        </w:tblPrEx>
        <w:trPr>
          <w:trHeight w:val="8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F9316F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577D303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数字IP网络平台终端嵌入软件</w:t>
            </w:r>
          </w:p>
        </w:tc>
        <w:tc>
          <w:tcPr>
            <w:tcW w:w="2775" w:type="pct"/>
            <w:tcBorders>
              <w:top w:val="single" w:color="000000" w:sz="4" w:space="0"/>
              <w:left w:val="nil"/>
              <w:bottom w:val="single" w:color="000000" w:sz="4" w:space="0"/>
              <w:right w:val="single" w:color="000000" w:sz="4" w:space="0"/>
            </w:tcBorders>
            <w:vAlign w:val="center"/>
          </w:tcPr>
          <w:p w14:paraId="04BFBAB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1.软件内嵌于数字IP网络平台终端设备，支撑设备各项基本功能的运行。</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2.嵌入DSP音频处理技术，高保真解码音频文件；支持远程点播功能，支持节目播放。</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3.支持新配置注册智能语音提示功能。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4.支持播放背景音乐功能，支持单独调节音量。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5.支持播放本地服务器的MP3文件；支持单独播放或分区/全区播放。</w:t>
            </w:r>
          </w:p>
        </w:tc>
        <w:tc>
          <w:tcPr>
            <w:tcW w:w="370" w:type="pct"/>
            <w:tcBorders>
              <w:top w:val="single" w:color="000000" w:sz="4" w:space="0"/>
              <w:left w:val="single" w:color="000000" w:sz="4" w:space="0"/>
              <w:bottom w:val="single" w:color="000000" w:sz="4" w:space="0"/>
              <w:right w:val="single" w:color="000000" w:sz="4" w:space="0"/>
            </w:tcBorders>
            <w:vAlign w:val="center"/>
          </w:tcPr>
          <w:p w14:paraId="1A6A573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9F120E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6EB40901">
        <w:tblPrEx>
          <w:tblCellMar>
            <w:top w:w="0" w:type="dxa"/>
            <w:left w:w="108" w:type="dxa"/>
            <w:bottom w:w="0" w:type="dxa"/>
            <w:right w:w="108" w:type="dxa"/>
          </w:tblCellMar>
        </w:tblPrEx>
        <w:trPr>
          <w:trHeight w:val="126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49C771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6126536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调音台</w:t>
            </w:r>
          </w:p>
        </w:tc>
        <w:tc>
          <w:tcPr>
            <w:tcW w:w="2775" w:type="pct"/>
            <w:tcBorders>
              <w:top w:val="single" w:color="000000" w:sz="4" w:space="0"/>
              <w:left w:val="nil"/>
              <w:bottom w:val="single" w:color="000000" w:sz="4" w:space="0"/>
              <w:right w:val="single" w:color="000000" w:sz="4" w:space="0"/>
            </w:tcBorders>
            <w:vAlign w:val="center"/>
          </w:tcPr>
          <w:p w14:paraId="6786455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功能特点：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1.采用超低噪声离散式麦克风前置放大器和+48V幻象电源。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2.提供4路Mic输入接口兼容4路线路输入接口，话筒输入接口带48V幻象电源。</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3.提供4组立体线性输入，可连接立体设备。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4.每路单声道输入通道设有3段EQ，设有峰值LED指示灯。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5.提供1组立体声主输出、1组辅助输出、1组立体声监听输出、1路耳机监听输出、1组CD/Tape输出。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6.内置24位DSP效果器，提供100种预设效果。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1.麦克风输入：4路（4个卡侬接口）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2.线路输入：4路单插单声道/立体声自动切换混合接口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3.立体声输入：4组（8路单声道）</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4.CD/Tape输入：1路CD/TAPE RCA立体声输入接口</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5.输出通路：1组立体声主输出、1组辅助输出、1组立体声监听输出、1路耳机监听输出、1组CD/Tape输出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6.效果器：24位DSP效果器（包括人声、小房子、大厅、回声、回声+回响、盘子、声乐板、合唱GTR，旋转GTR、颤音GTR类型），100种预设效果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7.幻象电源：+48V带开关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8.频率响应：20Hz-20kHz，±3dB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9.失真度：&lt;0.003%（A-weighted）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10.麦克风均衡输入噪音：-119dB（A-weighted）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11.共模抑制比：60dB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12.单通道输入增益：MIC：0 to 48dB，LINE:-33 to+15dB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13.立体通道输入增益：LINE：-8 to+6dB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14.主混音串音：-87dBu（A-weighted）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15.通道串音：-85dBu（A-weighted）</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16.最大输出水平：+20dBu</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17.MIC输入高通滤波：75Hz，18dB/oct</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18.单通道均衡：高频：±15dB@12KHz；中频：±12dB@2.5KHz；低频：±15dB@80Hz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19.电平表：2x4-点距LED电平指示表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20.电源：外接AC18V/1A（AC 230-240V 50/60Hz）电源适配器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21.功耗：≤18W</w:t>
            </w:r>
          </w:p>
        </w:tc>
        <w:tc>
          <w:tcPr>
            <w:tcW w:w="370" w:type="pct"/>
            <w:tcBorders>
              <w:top w:val="single" w:color="000000" w:sz="4" w:space="0"/>
              <w:left w:val="single" w:color="000000" w:sz="4" w:space="0"/>
              <w:bottom w:val="single" w:color="000000" w:sz="4" w:space="0"/>
              <w:right w:val="single" w:color="000000" w:sz="4" w:space="0"/>
            </w:tcBorders>
            <w:vAlign w:val="center"/>
          </w:tcPr>
          <w:p w14:paraId="6B23627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137996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40291A4A">
        <w:tblPrEx>
          <w:tblCellMar>
            <w:top w:w="0" w:type="dxa"/>
            <w:left w:w="108" w:type="dxa"/>
            <w:bottom w:w="0" w:type="dxa"/>
            <w:right w:w="108" w:type="dxa"/>
          </w:tblCellMar>
        </w:tblPrEx>
        <w:trPr>
          <w:trHeight w:val="44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09DBB2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44DEEA1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抑制器</w:t>
            </w:r>
          </w:p>
        </w:tc>
        <w:tc>
          <w:tcPr>
            <w:tcW w:w="2775" w:type="pct"/>
            <w:tcBorders>
              <w:top w:val="single" w:color="000000" w:sz="4" w:space="0"/>
              <w:left w:val="nil"/>
              <w:bottom w:val="single" w:color="000000" w:sz="4" w:space="0"/>
              <w:right w:val="single" w:color="000000" w:sz="4" w:space="0"/>
            </w:tcBorders>
            <w:vAlign w:val="center"/>
          </w:tcPr>
          <w:p w14:paraId="35FB1DE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功能特点：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1.高性能DSP处理，40-bit DPS处理器,高精度32-bit/48kHz AD/DA，提供卓越高品质声音。</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2.采用“陷波”+“移频”双方式进行反馈抑制。陷波器提供12固定点+12动态点。高精度移频，范围为-10Hz到10Hz。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3.具有噪声门功能，用于消除噪声。提供同时提供多种参数设置，方便现场灵活应用。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4.具有噪声门功能，用于限制输出大小。提供同时提供多种参数设置，方便现场灵活应用。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5.具有均衡器功能，提供图示均衡器和参量均衡器类型，提供8段参量均衡器和31段图示均衡器可选。图示均衡器支持高架、底架、参量滤波器多种类型。图示均衡器支持单点带宽模式配置。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6.具有分频器功能，具有贝塞尔、林克威治-瑞利、巴特沃斯三种滤波器类型及6/12/18/24/32/48db/oct多种可选，滤波器全频段可调。.</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7.具有自动增益功能，声音达到一定峰值自动衰减变小，声音较小则自动增益放大；使音量保持在一定范围。</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8.具有320*240 2英寸IPS真彩显示屏，方便快速操作，采用单键飞梭快捷操作，快速实现模式、直通、锁定及中英文选择功能。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9.具有48个陷波器状态LED指示灯，实时显示陷波器状态。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10.支持4个场景切换，灵活导入和导出场景数据。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11.支持恢复出厂设置、设备定位、断电自动保护记忆。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12.支持通过后台管理软件对多台设备进行批量升级。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13.以太网Enternet接口，可通过网络实时在线同时管控多台设备。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14.可工作在XP/Windows7、 8、10 等系统环境下。</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1.输入通道及插座：2路XLR与TRS多功能座模拟输入</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2.输出通道及插座：2路XLR公座+2路TRS公座 模拟输出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3.输入阻抗：平衡：≥20KΩ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4.输出阻抗：平衡：≥100Ω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5.输入范围：≤+20dBu</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6.频率响应：20Hz-20kHz（±0.5dB）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7.信噪比：≥103dB@1kHz 20dBu（A计权）</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8.失真度：&lt;0.012% OUTPUT=0dBu/1kHz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9.通道分离度：&gt;82dB(1kHz)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10.啸叫寻找与抑制方式：全自动式陷波</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11.滤波器：≥24个每通道</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12.Q值范围：10-50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13.频率分辨率：1Hz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14.啸叫寻找时间：0.1—0.5S</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15.FFT长度：1024</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16.传声增益：4—10dB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17.系统增益：0dB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18.陷波器：双通道各12个静态点+12个动态点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19.分频器：具有巴特沃斯，贝塞尔，林克威治-瑞利三种高低通滤波器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20.均衡器：31段图示均衡器+8段参量均衡器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21.显示：2英寸IPS真彩显示屏，分辨率320*240；48个陷波器状态LED指示灯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22.处理器：48kHz采样频率，40-bit DSP处理器；32-bit A/D及D/A转换</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23.产品尺寸（LxDxH）：不大于484X209X45 mm</w:t>
            </w:r>
          </w:p>
        </w:tc>
        <w:tc>
          <w:tcPr>
            <w:tcW w:w="370" w:type="pct"/>
            <w:tcBorders>
              <w:top w:val="single" w:color="000000" w:sz="4" w:space="0"/>
              <w:left w:val="single" w:color="000000" w:sz="4" w:space="0"/>
              <w:bottom w:val="single" w:color="000000" w:sz="4" w:space="0"/>
              <w:right w:val="single" w:color="000000" w:sz="4" w:space="0"/>
            </w:tcBorders>
            <w:vAlign w:val="center"/>
          </w:tcPr>
          <w:p w14:paraId="1C4B5A4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416F55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r>
      <w:tr w14:paraId="712DAE1B">
        <w:tblPrEx>
          <w:tblCellMar>
            <w:top w:w="0" w:type="dxa"/>
            <w:left w:w="108" w:type="dxa"/>
            <w:bottom w:w="0" w:type="dxa"/>
            <w:right w:w="108" w:type="dxa"/>
          </w:tblCellMar>
        </w:tblPrEx>
        <w:trPr>
          <w:trHeight w:val="395"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17B7EF5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44E6FD2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无线话筒</w:t>
            </w:r>
          </w:p>
        </w:tc>
        <w:tc>
          <w:tcPr>
            <w:tcW w:w="2775" w:type="pct"/>
            <w:tcBorders>
              <w:top w:val="single" w:color="000000" w:sz="4" w:space="0"/>
              <w:left w:val="nil"/>
              <w:bottom w:val="single" w:color="000000" w:sz="4" w:space="0"/>
              <w:right w:val="single" w:color="000000" w:sz="4" w:space="0"/>
            </w:tcBorders>
            <w:vAlign w:val="center"/>
          </w:tcPr>
          <w:p w14:paraId="005B213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功能特点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1.基于数字U段的传输技术，pi/4-DQPSK调制方式，采用国产主控芯片，传输距离80米；具有混响、均衡、智能静音、音频加密、功率调节功能。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2.具有1台接收主机、2只手持发射机；频率范围470MHz-510MHz、540MHz-590MHz、640MHz-690MHz、807MHz-830MHz四个频段使用。</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3.具有音频加密功能，开启后发射机与接收机通过独特的ID码导频加密技术，达到设备不串频的效果。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4.具有多频段均衡调节功能，均衡调节2197种，麦克风均衡器调节功能，具有高、中、低音三种调节档位，每种效果支持13档调节。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5.具有自动静音功能，麦克风跌落、抛掷时，毫秒级自动静音，避免冲击声；实时监测设备姿态，静置5秒静音，8分钟关机，无需手动干预。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6.具有自动频率扫描功能，可快速地给发射机找到清晰的频率。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7.具有通过红外扫描和同步，将发射机与接收机轻松配对。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8.具有多档位混响调节功能，效果占比、回响延时、混响幅度调节，三种音效各具有多档调节方式。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9.接收机具有两路平衡输出、一路非平衡混音输出，满足用户不同需求。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接收机前面板具有2个显示屏、2个编码旋钮、2个频率扫描实体按键、2个红外对频实体按键、1个电源开关按键、1个二合一指示灯（红外发射管+对频指示灯）；后面板具有1个LINE-OUT接口、2个XLR-OUT接口、2个BNC接口、1个DC接口。发射机具有1个OLED显示屏、1个开关机/静音按键、2个工作状态指示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接收机具有2个2.2英寸的TFT-LCD显示屏,用户可通过显示屏查看设备射频信号强度、音频信号强度、麦克风开启状态、手持麦克风电池电量情况、当前频率数值、音量大小、语言切换选项等，可轻松获取设备当前信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12.发射机具有0.96英寸OLED显示屏，能够显示频率信息、音频加密状态、功率挡位、静音状态、电量格数信息。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13.发射机具有长时间自动关机功能，设备自动检测工作状态（使用状态、静置状态），静置5秒后发射机自动静音、静置8分钟后发射机自动关机。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14.具有一键静音按键，麦克风支持双击静音且可以通过接收机取消麦克风静音功能。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15.接收机面板精湛工艺制作，大气美观；话筒采用高还原动圈咪芯，专业音腔设计，音质呈现自然原声。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16.具有ID码防串扰功能，采用32位唯一ID码，用于接收和发射配对，收发ID码必须相同才能对码，能够有效防止相同频率的信号相互串台。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17.发射机使用时长大于等于10小时。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18.发射机电量过低时接收机显示屏会进行低电提醒。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19.发射机功率档位支持多档可调节。</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系统指标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1.频率范围：470MHz-510MHz、540MHz-590MHz、640MHz-690MHz、807MHz-830MHz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2.调制方式：pi/4-DQPSK</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3.频率响应：20Hz~20kHz （±3dB）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4.信噪比：≥105dB（XLR）</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5.THD+N：＜0.1%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6.工作距离：约80m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接收机指标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1.显示屏：TFT-LCD屏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2.显示屏分辨率：240×3RGB×320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3.失真度：&lt;0.05%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4.天线接口：BNC/50Ω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5.接收灵敏度：＜-95dBm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6.最大输出：平衡输出500mV，非平衡输出1000mV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7.电源：DC 12V/1A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8.工作电流：≤320mA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9.体积(L×W×H)：不大于443×212×44mm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发射机指标</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1.显示屏：OLED屏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2.显示屏分辨率：128×64</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3.音头：动圈式麦克风（双手持话筒）</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4.输出功率：≥10dBm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5.工作电流：≤200mA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6.电池：2×1.5V(AA)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7.电池使用时长：&gt;10H</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8.体积(包括话筒头)：不大于245mm×39mm</w:t>
            </w:r>
          </w:p>
        </w:tc>
        <w:tc>
          <w:tcPr>
            <w:tcW w:w="370" w:type="pct"/>
            <w:tcBorders>
              <w:top w:val="single" w:color="000000" w:sz="4" w:space="0"/>
              <w:left w:val="single" w:color="000000" w:sz="4" w:space="0"/>
              <w:bottom w:val="single" w:color="000000" w:sz="4" w:space="0"/>
              <w:right w:val="single" w:color="000000" w:sz="4" w:space="0"/>
            </w:tcBorders>
            <w:vAlign w:val="center"/>
          </w:tcPr>
          <w:p w14:paraId="468A89B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E6D39C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09A338DB">
        <w:tblPrEx>
          <w:tblCellMar>
            <w:top w:w="0" w:type="dxa"/>
            <w:left w:w="108" w:type="dxa"/>
            <w:bottom w:w="0" w:type="dxa"/>
            <w:right w:w="108" w:type="dxa"/>
          </w:tblCellMar>
        </w:tblPrEx>
        <w:trPr>
          <w:trHeight w:val="124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D18A3B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820" w:type="pct"/>
            <w:tcBorders>
              <w:top w:val="single" w:color="000000" w:sz="4" w:space="0"/>
              <w:left w:val="single" w:color="000000" w:sz="4" w:space="0"/>
              <w:bottom w:val="single" w:color="000000" w:sz="4" w:space="0"/>
              <w:right w:val="single" w:color="000000" w:sz="4" w:space="0"/>
            </w:tcBorders>
            <w:vAlign w:val="center"/>
          </w:tcPr>
          <w:p w14:paraId="06DEFAA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话筒呼叫控制嵌入软件</w:t>
            </w:r>
          </w:p>
        </w:tc>
        <w:tc>
          <w:tcPr>
            <w:tcW w:w="2775" w:type="pct"/>
            <w:tcBorders>
              <w:top w:val="single" w:color="000000" w:sz="4" w:space="0"/>
              <w:left w:val="nil"/>
              <w:bottom w:val="single" w:color="000000" w:sz="4" w:space="0"/>
              <w:right w:val="single" w:color="000000" w:sz="4" w:space="0"/>
            </w:tcBorders>
            <w:vAlign w:val="center"/>
          </w:tcPr>
          <w:p w14:paraId="1F4A9BC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1.软件内嵌于无线话筒系统设备，话筒呼叫控制功能。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2.采用UHF超高频段双真分集接收，并采用PLL锁相环多信道频率合成技术。</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3.支持自动选讯接收方式。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4.支持信道选择、频率可调、可设置主机与话筒配对。</w:t>
            </w:r>
          </w:p>
        </w:tc>
        <w:tc>
          <w:tcPr>
            <w:tcW w:w="370" w:type="pct"/>
            <w:tcBorders>
              <w:top w:val="single" w:color="000000" w:sz="4" w:space="0"/>
              <w:left w:val="single" w:color="000000" w:sz="4" w:space="0"/>
              <w:bottom w:val="single" w:color="000000" w:sz="4" w:space="0"/>
              <w:right w:val="single" w:color="000000" w:sz="4" w:space="0"/>
            </w:tcBorders>
            <w:vAlign w:val="center"/>
          </w:tcPr>
          <w:p w14:paraId="180DC44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42E78C3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659847C9">
        <w:tblPrEx>
          <w:tblCellMar>
            <w:top w:w="0" w:type="dxa"/>
            <w:left w:w="108" w:type="dxa"/>
            <w:bottom w:w="0" w:type="dxa"/>
            <w:right w:w="108" w:type="dxa"/>
          </w:tblCellMar>
        </w:tblPrEx>
        <w:trPr>
          <w:trHeight w:val="146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3A7DB8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76774BB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天线放大器</w:t>
            </w:r>
          </w:p>
        </w:tc>
        <w:tc>
          <w:tcPr>
            <w:tcW w:w="2775" w:type="pct"/>
            <w:tcBorders>
              <w:top w:val="single" w:color="000000" w:sz="4" w:space="0"/>
              <w:left w:val="nil"/>
              <w:bottom w:val="single" w:color="000000" w:sz="4" w:space="0"/>
              <w:right w:val="single" w:color="000000" w:sz="4" w:space="0"/>
            </w:tcBorders>
            <w:vAlign w:val="center"/>
          </w:tcPr>
          <w:p w14:paraId="259402D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1.能够对射频信号进行放大处理，以补偿线路损耗，延长天线到接收机的传输距离，有效增加接收距离和信号传输的稳定性。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2.在应用频段内提供约20dB的增益。</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3.设备支持通过分配器、电源适配器多种供电方式，安装简便，易于操作。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1.频率范围 ：470MHZ-950MHZ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2.噪声：≤2dB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3.电压驻波比：输入小于3:1；输出小于3:1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4.端子 ：BNC</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5.供电：12V DC/1A</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6.增益：≥20dB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7.外形尺寸（L×W×H）：不大于70×68×26mm</w:t>
            </w:r>
          </w:p>
        </w:tc>
        <w:tc>
          <w:tcPr>
            <w:tcW w:w="370" w:type="pct"/>
            <w:tcBorders>
              <w:top w:val="single" w:color="000000" w:sz="4" w:space="0"/>
              <w:left w:val="single" w:color="000000" w:sz="4" w:space="0"/>
              <w:bottom w:val="single" w:color="000000" w:sz="4" w:space="0"/>
              <w:right w:val="single" w:color="000000" w:sz="4" w:space="0"/>
            </w:tcBorders>
            <w:vAlign w:val="center"/>
          </w:tcPr>
          <w:p w14:paraId="49F9D18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79E5CF0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5C8A91D4">
        <w:tblPrEx>
          <w:tblCellMar>
            <w:top w:w="0" w:type="dxa"/>
            <w:left w:w="108" w:type="dxa"/>
            <w:bottom w:w="0" w:type="dxa"/>
            <w:right w:w="108" w:type="dxa"/>
          </w:tblCellMar>
        </w:tblPrEx>
        <w:trPr>
          <w:trHeight w:val="72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A6CF03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820" w:type="pct"/>
            <w:tcBorders>
              <w:top w:val="single" w:color="000000" w:sz="4" w:space="0"/>
              <w:left w:val="single" w:color="000000" w:sz="4" w:space="0"/>
              <w:bottom w:val="single" w:color="000000" w:sz="4" w:space="0"/>
              <w:right w:val="single" w:color="000000" w:sz="4" w:space="0"/>
            </w:tcBorders>
            <w:vAlign w:val="center"/>
          </w:tcPr>
          <w:p w14:paraId="43B5FDF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话筒天线</w:t>
            </w:r>
          </w:p>
        </w:tc>
        <w:tc>
          <w:tcPr>
            <w:tcW w:w="2775" w:type="pct"/>
            <w:tcBorders>
              <w:top w:val="single" w:color="000000" w:sz="4" w:space="0"/>
              <w:left w:val="nil"/>
              <w:bottom w:val="single" w:color="000000" w:sz="4" w:space="0"/>
              <w:right w:val="single" w:color="000000" w:sz="4" w:space="0"/>
            </w:tcBorders>
            <w:vAlign w:val="center"/>
          </w:tcPr>
          <w:p w14:paraId="49A7D1A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1。在有源的状态下，天线在直线距离可接收约 150-200 米的信号。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2.此天线带有放大器增益调节档位，当放大倍数超高时，可通过调节降低档位来防止自激现象。且有信号过强提示灯，指示灯阈值：-5dBm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3．天线接收频段广，可接收 470-950MHZ 的频率。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4．此产品指向性天线安装方便，简易，有适当防水功能。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1.供电电压：DC 8～12V</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2.频率范围：470～950MHz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3.最大增益：7.5dBi</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4.电压驻波比：≤2.0</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5.极化方式：线极化</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6.输入阻抗：≥50Ω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7.接头型号：BNC 母头母针</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8.工作温度：-18～+63℃</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9.放大器OIP3：＞38dBm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10.指向性：90°指向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11.天线尺寸：不小于305*290*35.3mm</w:t>
            </w:r>
          </w:p>
        </w:tc>
        <w:tc>
          <w:tcPr>
            <w:tcW w:w="370" w:type="pct"/>
            <w:tcBorders>
              <w:top w:val="single" w:color="000000" w:sz="4" w:space="0"/>
              <w:left w:val="single" w:color="000000" w:sz="4" w:space="0"/>
              <w:bottom w:val="single" w:color="000000" w:sz="4" w:space="0"/>
              <w:right w:val="single" w:color="000000" w:sz="4" w:space="0"/>
            </w:tcBorders>
            <w:vAlign w:val="center"/>
          </w:tcPr>
          <w:p w14:paraId="4360AFE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3FD3354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r>
      <w:tr w14:paraId="4187877A">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A171F3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820" w:type="pct"/>
            <w:tcBorders>
              <w:top w:val="single" w:color="000000" w:sz="4" w:space="0"/>
              <w:left w:val="single" w:color="000000" w:sz="4" w:space="0"/>
              <w:bottom w:val="single" w:color="000000" w:sz="4" w:space="0"/>
              <w:right w:val="single" w:color="000000" w:sz="4" w:space="0"/>
            </w:tcBorders>
            <w:vAlign w:val="center"/>
          </w:tcPr>
          <w:p w14:paraId="3C89020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音柱</w:t>
            </w:r>
          </w:p>
        </w:tc>
        <w:tc>
          <w:tcPr>
            <w:tcW w:w="2775" w:type="pct"/>
            <w:tcBorders>
              <w:top w:val="single" w:color="000000" w:sz="4" w:space="0"/>
              <w:left w:val="nil"/>
              <w:bottom w:val="single" w:color="000000" w:sz="4" w:space="0"/>
              <w:right w:val="single" w:color="000000" w:sz="4" w:space="0"/>
            </w:tcBorders>
            <w:vAlign w:val="center"/>
          </w:tcPr>
          <w:p w14:paraId="65FA379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1.外壳采用铝合金材料，配可调节多种角度支架，安装方便；专业的表面处理工艺，防水防锈；匹配2路扬声器单元，音质更好。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1.额定功率（100V）：≥22.5W,45W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2.额定功率（70V）：≥11.2W,22.5W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3.灵敏度：91dB±3dB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4.阻抗：黑:COM白:440Ω绿:220Ω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5.频率响应：50Hz-18KHz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6.喇叭单元：4"×4,2.5"×1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7.防护等级：≥IP66</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8.尺寸：150×125×565mm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9.材料：铝合金</w:t>
            </w:r>
          </w:p>
        </w:tc>
        <w:tc>
          <w:tcPr>
            <w:tcW w:w="370" w:type="pct"/>
            <w:tcBorders>
              <w:top w:val="single" w:color="000000" w:sz="4" w:space="0"/>
              <w:left w:val="single" w:color="000000" w:sz="4" w:space="0"/>
              <w:bottom w:val="single" w:color="000000" w:sz="4" w:space="0"/>
              <w:right w:val="single" w:color="000000" w:sz="4" w:space="0"/>
            </w:tcBorders>
            <w:vAlign w:val="center"/>
          </w:tcPr>
          <w:p w14:paraId="4EF9765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536" w:type="pct"/>
            <w:tcBorders>
              <w:top w:val="single" w:color="000000" w:sz="4" w:space="0"/>
              <w:left w:val="single" w:color="000000" w:sz="4" w:space="0"/>
              <w:bottom w:val="single" w:color="000000" w:sz="4" w:space="0"/>
              <w:right w:val="single" w:color="000000" w:sz="4" w:space="0"/>
            </w:tcBorders>
            <w:vAlign w:val="center"/>
          </w:tcPr>
          <w:p w14:paraId="6ADB394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5D5CFF5E">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02B3681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w:t>
            </w:r>
          </w:p>
        </w:tc>
        <w:tc>
          <w:tcPr>
            <w:tcW w:w="820" w:type="pct"/>
            <w:tcBorders>
              <w:top w:val="single" w:color="000000" w:sz="4" w:space="0"/>
              <w:left w:val="single" w:color="000000" w:sz="4" w:space="0"/>
              <w:bottom w:val="single" w:color="000000" w:sz="4" w:space="0"/>
              <w:right w:val="single" w:color="000000" w:sz="4" w:space="0"/>
            </w:tcBorders>
            <w:vAlign w:val="center"/>
          </w:tcPr>
          <w:p w14:paraId="6D7DF39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音柱</w:t>
            </w:r>
          </w:p>
        </w:tc>
        <w:tc>
          <w:tcPr>
            <w:tcW w:w="2775" w:type="pct"/>
            <w:tcBorders>
              <w:top w:val="single" w:color="000000" w:sz="4" w:space="0"/>
              <w:left w:val="nil"/>
              <w:bottom w:val="single" w:color="000000" w:sz="4" w:space="0"/>
              <w:right w:val="single" w:color="000000" w:sz="4" w:space="0"/>
            </w:tcBorders>
            <w:vAlign w:val="center"/>
          </w:tcPr>
          <w:p w14:paraId="73585D5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产品特点：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1.大功率室外防水音柱，全金属结构，六级防水。</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2.外壳采用冷轧板材料，表面采用喷粉工艺，提高使用寿命，抗氧化；</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3.网罩采用铝质, 表面采用喷粉工艺, 增加网罩的强度,再加一层防水布，防水防尘, 提高使用寿命；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4.采用3只6.5寸全频喇叭单元和1只3寸高音，低频饱满、高音清晰，人声突出，承载功率较大，穿透力强；</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5.内置高性能100V音频变压器，能够减少电路中因阻抗产生的损耗，多功率选择，灵活接线方式；</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6.标配支架，安装方便；</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技术参数</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1.额定功率(100V)：90W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2.额定功率(70V)：45W</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3.灵敏度：≥93dB</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4.阻抗：黑: COM  白: 110Ω</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5.频率响应：110Hz-15kHz </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6.防护等级：≥IP66</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7.尺寸：不大于240×190×746mm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8.喇叭单元：6.5"×3+3"×1</w:t>
            </w:r>
          </w:p>
        </w:tc>
        <w:tc>
          <w:tcPr>
            <w:tcW w:w="370" w:type="pct"/>
            <w:tcBorders>
              <w:top w:val="single" w:color="000000" w:sz="4" w:space="0"/>
              <w:left w:val="single" w:color="000000" w:sz="4" w:space="0"/>
              <w:bottom w:val="single" w:color="000000" w:sz="4" w:space="0"/>
              <w:right w:val="single" w:color="000000" w:sz="4" w:space="0"/>
            </w:tcBorders>
            <w:vAlign w:val="center"/>
          </w:tcPr>
          <w:p w14:paraId="072E26F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536" w:type="pct"/>
            <w:tcBorders>
              <w:top w:val="single" w:color="000000" w:sz="4" w:space="0"/>
              <w:left w:val="single" w:color="000000" w:sz="4" w:space="0"/>
              <w:bottom w:val="single" w:color="000000" w:sz="4" w:space="0"/>
              <w:right w:val="single" w:color="000000" w:sz="4" w:space="0"/>
            </w:tcBorders>
            <w:vAlign w:val="center"/>
          </w:tcPr>
          <w:p w14:paraId="604A1D0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只</w:t>
            </w:r>
          </w:p>
        </w:tc>
      </w:tr>
      <w:tr w14:paraId="0E35050D">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2523AC47">
            <w:pP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交换机、前端机柜等设备</w:t>
            </w:r>
          </w:p>
        </w:tc>
        <w:tc>
          <w:tcPr>
            <w:tcW w:w="2775" w:type="pct"/>
            <w:tcBorders>
              <w:top w:val="single" w:color="000000" w:sz="4" w:space="0"/>
              <w:left w:val="single" w:color="000000" w:sz="4" w:space="0"/>
              <w:bottom w:val="single" w:color="000000" w:sz="4" w:space="0"/>
              <w:right w:val="single" w:color="000000" w:sz="4" w:space="0"/>
            </w:tcBorders>
            <w:noWrap/>
            <w:vAlign w:val="center"/>
          </w:tcPr>
          <w:p w14:paraId="051A324C">
            <w:pPr>
              <w:rPr>
                <w:rFonts w:hint="eastAsia" w:cs="宋体"/>
                <w:b/>
                <w:bCs/>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68BF20E">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732B3F1">
            <w:pPr>
              <w:jc w:val="center"/>
              <w:rPr>
                <w:rFonts w:hint="eastAsia" w:cs="宋体"/>
                <w:b/>
                <w:bCs/>
                <w:color w:val="000000" w:themeColor="text1"/>
                <w:szCs w:val="21"/>
                <w14:textFill>
                  <w14:solidFill>
                    <w14:schemeClr w14:val="tx1"/>
                  </w14:solidFill>
                </w14:textFill>
              </w:rPr>
            </w:pPr>
          </w:p>
        </w:tc>
      </w:tr>
      <w:tr w14:paraId="3AAF96EF">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479EA0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73269CA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交换机</w:t>
            </w:r>
          </w:p>
        </w:tc>
        <w:tc>
          <w:tcPr>
            <w:tcW w:w="2775" w:type="pct"/>
            <w:tcBorders>
              <w:top w:val="single" w:color="000000" w:sz="4" w:space="0"/>
              <w:left w:val="single" w:color="000000" w:sz="4" w:space="0"/>
              <w:bottom w:val="single" w:color="000000" w:sz="4" w:space="0"/>
              <w:right w:val="single" w:color="000000" w:sz="4" w:space="0"/>
            </w:tcBorders>
            <w:vAlign w:val="center"/>
          </w:tcPr>
          <w:p w14:paraId="146FF3D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24口千兆非网管交换机</w:t>
            </w:r>
          </w:p>
        </w:tc>
        <w:tc>
          <w:tcPr>
            <w:tcW w:w="370" w:type="pct"/>
            <w:tcBorders>
              <w:top w:val="single" w:color="000000" w:sz="4" w:space="0"/>
              <w:left w:val="single" w:color="000000" w:sz="4" w:space="0"/>
              <w:bottom w:val="single" w:color="000000" w:sz="4" w:space="0"/>
              <w:right w:val="single" w:color="000000" w:sz="4" w:space="0"/>
            </w:tcBorders>
            <w:vAlign w:val="center"/>
          </w:tcPr>
          <w:p w14:paraId="71B821C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536" w:type="pct"/>
            <w:tcBorders>
              <w:top w:val="single" w:color="000000" w:sz="4" w:space="0"/>
              <w:left w:val="single" w:color="000000" w:sz="4" w:space="0"/>
              <w:bottom w:val="single" w:color="000000" w:sz="4" w:space="0"/>
              <w:right w:val="single" w:color="000000" w:sz="4" w:space="0"/>
            </w:tcBorders>
            <w:vAlign w:val="center"/>
          </w:tcPr>
          <w:p w14:paraId="4CBD710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r>
      <w:tr w14:paraId="2D27662B">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6FC765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29CC2C7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交换机</w:t>
            </w:r>
          </w:p>
        </w:tc>
        <w:tc>
          <w:tcPr>
            <w:tcW w:w="2775" w:type="pct"/>
            <w:tcBorders>
              <w:top w:val="single" w:color="000000" w:sz="4" w:space="0"/>
              <w:left w:val="single" w:color="000000" w:sz="4" w:space="0"/>
              <w:bottom w:val="single" w:color="000000" w:sz="4" w:space="0"/>
              <w:right w:val="single" w:color="000000" w:sz="4" w:space="0"/>
            </w:tcBorders>
            <w:vAlign w:val="center"/>
          </w:tcPr>
          <w:p w14:paraId="4A16616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24口千兆网管交换机</w:t>
            </w:r>
          </w:p>
        </w:tc>
        <w:tc>
          <w:tcPr>
            <w:tcW w:w="370" w:type="pct"/>
            <w:tcBorders>
              <w:top w:val="single" w:color="000000" w:sz="4" w:space="0"/>
              <w:left w:val="single" w:color="000000" w:sz="4" w:space="0"/>
              <w:bottom w:val="single" w:color="000000" w:sz="4" w:space="0"/>
              <w:right w:val="single" w:color="000000" w:sz="4" w:space="0"/>
            </w:tcBorders>
            <w:vAlign w:val="center"/>
          </w:tcPr>
          <w:p w14:paraId="47BDF28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283F57F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r>
      <w:tr w14:paraId="7253D15C">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512AA1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5779A17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光纤模块</w:t>
            </w:r>
          </w:p>
        </w:tc>
        <w:tc>
          <w:tcPr>
            <w:tcW w:w="2775" w:type="pct"/>
            <w:tcBorders>
              <w:top w:val="single" w:color="000000" w:sz="4" w:space="0"/>
              <w:left w:val="single" w:color="000000" w:sz="4" w:space="0"/>
              <w:bottom w:val="single" w:color="000000" w:sz="4" w:space="0"/>
              <w:right w:val="single" w:color="000000" w:sz="4" w:space="0"/>
            </w:tcBorders>
            <w:vAlign w:val="center"/>
          </w:tcPr>
          <w:p w14:paraId="66A95D2C">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千兆单模光模块</w:t>
            </w:r>
          </w:p>
        </w:tc>
        <w:tc>
          <w:tcPr>
            <w:tcW w:w="370" w:type="pct"/>
            <w:tcBorders>
              <w:top w:val="single" w:color="000000" w:sz="4" w:space="0"/>
              <w:left w:val="single" w:color="000000" w:sz="4" w:space="0"/>
              <w:bottom w:val="single" w:color="000000" w:sz="4" w:space="0"/>
              <w:right w:val="single" w:color="000000" w:sz="4" w:space="0"/>
            </w:tcBorders>
            <w:vAlign w:val="center"/>
          </w:tcPr>
          <w:p w14:paraId="1609E02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536" w:type="pct"/>
            <w:tcBorders>
              <w:top w:val="single" w:color="000000" w:sz="4" w:space="0"/>
              <w:left w:val="single" w:color="000000" w:sz="4" w:space="0"/>
              <w:bottom w:val="single" w:color="000000" w:sz="4" w:space="0"/>
              <w:right w:val="single" w:color="000000" w:sz="4" w:space="0"/>
            </w:tcBorders>
            <w:vAlign w:val="center"/>
          </w:tcPr>
          <w:p w14:paraId="1541C66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对</w:t>
            </w:r>
          </w:p>
        </w:tc>
      </w:tr>
      <w:tr w14:paraId="336B471D">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70DE71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743593C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弱电井机柜</w:t>
            </w:r>
          </w:p>
        </w:tc>
        <w:tc>
          <w:tcPr>
            <w:tcW w:w="2775" w:type="pct"/>
            <w:tcBorders>
              <w:top w:val="single" w:color="000000" w:sz="4" w:space="0"/>
              <w:left w:val="single" w:color="000000" w:sz="4" w:space="0"/>
              <w:bottom w:val="single" w:color="000000" w:sz="4" w:space="0"/>
              <w:right w:val="single" w:color="000000" w:sz="4" w:space="0"/>
            </w:tcBorders>
            <w:vAlign w:val="center"/>
          </w:tcPr>
          <w:p w14:paraId="0545092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不小于400*530*600</w:t>
            </w:r>
          </w:p>
        </w:tc>
        <w:tc>
          <w:tcPr>
            <w:tcW w:w="370" w:type="pct"/>
            <w:tcBorders>
              <w:top w:val="single" w:color="000000" w:sz="4" w:space="0"/>
              <w:left w:val="single" w:color="000000" w:sz="4" w:space="0"/>
              <w:bottom w:val="single" w:color="000000" w:sz="4" w:space="0"/>
              <w:right w:val="single" w:color="000000" w:sz="4" w:space="0"/>
            </w:tcBorders>
            <w:vAlign w:val="center"/>
          </w:tcPr>
          <w:p w14:paraId="69AC59D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536" w:type="pct"/>
            <w:tcBorders>
              <w:top w:val="single" w:color="000000" w:sz="4" w:space="0"/>
              <w:left w:val="single" w:color="000000" w:sz="4" w:space="0"/>
              <w:bottom w:val="single" w:color="000000" w:sz="4" w:space="0"/>
              <w:right w:val="single" w:color="000000" w:sz="4" w:space="0"/>
            </w:tcBorders>
            <w:vAlign w:val="center"/>
          </w:tcPr>
          <w:p w14:paraId="3CD40CB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r>
      <w:tr w14:paraId="1D5B59BA">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E99574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269865C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篮球馆机柜</w:t>
            </w:r>
          </w:p>
        </w:tc>
        <w:tc>
          <w:tcPr>
            <w:tcW w:w="2775" w:type="pct"/>
            <w:tcBorders>
              <w:top w:val="single" w:color="000000" w:sz="4" w:space="0"/>
              <w:left w:val="single" w:color="000000" w:sz="4" w:space="0"/>
              <w:bottom w:val="single" w:color="000000" w:sz="4" w:space="0"/>
              <w:right w:val="single" w:color="000000" w:sz="4" w:space="0"/>
            </w:tcBorders>
            <w:vAlign w:val="center"/>
          </w:tcPr>
          <w:p w14:paraId="60EF3E6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不小于600*600*1000</w:t>
            </w:r>
          </w:p>
        </w:tc>
        <w:tc>
          <w:tcPr>
            <w:tcW w:w="370" w:type="pct"/>
            <w:tcBorders>
              <w:top w:val="single" w:color="000000" w:sz="4" w:space="0"/>
              <w:left w:val="single" w:color="000000" w:sz="4" w:space="0"/>
              <w:bottom w:val="single" w:color="000000" w:sz="4" w:space="0"/>
              <w:right w:val="single" w:color="000000" w:sz="4" w:space="0"/>
            </w:tcBorders>
            <w:vAlign w:val="center"/>
          </w:tcPr>
          <w:p w14:paraId="7CE5A71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6C3130B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r>
      <w:tr w14:paraId="6F55598B">
        <w:tblPrEx>
          <w:tblCellMar>
            <w:top w:w="0" w:type="dxa"/>
            <w:left w:w="108" w:type="dxa"/>
            <w:bottom w:w="0" w:type="dxa"/>
            <w:right w:w="108" w:type="dxa"/>
          </w:tblCellMar>
        </w:tblPrEx>
        <w:trPr>
          <w:trHeight w:val="400" w:hRule="atLeast"/>
        </w:trPr>
        <w:tc>
          <w:tcPr>
            <w:tcW w:w="1317" w:type="pct"/>
            <w:gridSpan w:val="2"/>
            <w:tcBorders>
              <w:top w:val="single" w:color="000000" w:sz="4" w:space="0"/>
              <w:left w:val="single" w:color="000000" w:sz="4" w:space="0"/>
              <w:bottom w:val="single" w:color="000000" w:sz="4" w:space="0"/>
              <w:right w:val="single" w:color="000000" w:sz="4" w:space="0"/>
            </w:tcBorders>
            <w:noWrap/>
            <w:vAlign w:val="center"/>
          </w:tcPr>
          <w:p w14:paraId="118A48FB">
            <w:pP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四、辅助材料</w:t>
            </w:r>
          </w:p>
        </w:tc>
        <w:tc>
          <w:tcPr>
            <w:tcW w:w="2775" w:type="pct"/>
            <w:tcBorders>
              <w:top w:val="single" w:color="000000" w:sz="4" w:space="0"/>
              <w:left w:val="single" w:color="000000" w:sz="4" w:space="0"/>
              <w:bottom w:val="single" w:color="000000" w:sz="4" w:space="0"/>
              <w:right w:val="single" w:color="000000" w:sz="4" w:space="0"/>
            </w:tcBorders>
            <w:noWrap/>
            <w:vAlign w:val="center"/>
          </w:tcPr>
          <w:p w14:paraId="6774A041">
            <w:pPr>
              <w:rPr>
                <w:rFonts w:hint="eastAsia" w:cs="宋体"/>
                <w:b/>
                <w:bCs/>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A2DA5D0">
            <w:pPr>
              <w:jc w:val="center"/>
              <w:rPr>
                <w:rFonts w:hint="eastAsia" w:cs="宋体"/>
                <w:b/>
                <w:bCs/>
                <w:color w:val="000000" w:themeColor="text1"/>
                <w:szCs w:val="21"/>
                <w14:textFill>
                  <w14:solidFill>
                    <w14:schemeClr w14:val="tx1"/>
                  </w14:solidFill>
                </w14:textFill>
              </w:rPr>
            </w:pP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3A017EBA">
            <w:pPr>
              <w:jc w:val="center"/>
              <w:rPr>
                <w:rFonts w:hint="eastAsia" w:cs="宋体"/>
                <w:b/>
                <w:bCs/>
                <w:color w:val="000000" w:themeColor="text1"/>
                <w:szCs w:val="21"/>
                <w14:textFill>
                  <w14:solidFill>
                    <w14:schemeClr w14:val="tx1"/>
                  </w14:solidFill>
                </w14:textFill>
              </w:rPr>
            </w:pPr>
          </w:p>
        </w:tc>
      </w:tr>
      <w:tr w14:paraId="38F69A9E">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97E776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820" w:type="pct"/>
            <w:tcBorders>
              <w:top w:val="single" w:color="000000" w:sz="4" w:space="0"/>
              <w:left w:val="single" w:color="000000" w:sz="4" w:space="0"/>
              <w:bottom w:val="single" w:color="000000" w:sz="4" w:space="0"/>
              <w:right w:val="single" w:color="000000" w:sz="4" w:space="0"/>
            </w:tcBorders>
            <w:vAlign w:val="center"/>
          </w:tcPr>
          <w:p w14:paraId="3B171D6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插座</w:t>
            </w:r>
          </w:p>
        </w:tc>
        <w:tc>
          <w:tcPr>
            <w:tcW w:w="2775" w:type="pct"/>
            <w:tcBorders>
              <w:top w:val="single" w:color="000000" w:sz="4" w:space="0"/>
              <w:left w:val="single" w:color="000000" w:sz="4" w:space="0"/>
              <w:bottom w:val="single" w:color="000000" w:sz="4" w:space="0"/>
              <w:right w:val="single" w:color="000000" w:sz="4" w:space="0"/>
            </w:tcBorders>
            <w:vAlign w:val="center"/>
          </w:tcPr>
          <w:p w14:paraId="32EB51D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机柜插板（6位）</w:t>
            </w:r>
          </w:p>
        </w:tc>
        <w:tc>
          <w:tcPr>
            <w:tcW w:w="370" w:type="pct"/>
            <w:tcBorders>
              <w:top w:val="single" w:color="000000" w:sz="4" w:space="0"/>
              <w:left w:val="single" w:color="000000" w:sz="4" w:space="0"/>
              <w:bottom w:val="single" w:color="000000" w:sz="4" w:space="0"/>
              <w:right w:val="single" w:color="000000" w:sz="4" w:space="0"/>
            </w:tcBorders>
            <w:vAlign w:val="center"/>
          </w:tcPr>
          <w:p w14:paraId="4A299CF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80</w:t>
            </w:r>
          </w:p>
        </w:tc>
        <w:tc>
          <w:tcPr>
            <w:tcW w:w="536" w:type="pct"/>
            <w:tcBorders>
              <w:top w:val="single" w:color="000000" w:sz="4" w:space="0"/>
              <w:left w:val="single" w:color="000000" w:sz="4" w:space="0"/>
              <w:bottom w:val="single" w:color="000000" w:sz="4" w:space="0"/>
              <w:right w:val="single" w:color="000000" w:sz="4" w:space="0"/>
            </w:tcBorders>
            <w:vAlign w:val="center"/>
          </w:tcPr>
          <w:p w14:paraId="0723B37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r>
      <w:tr w14:paraId="1A020125">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340796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820" w:type="pct"/>
            <w:tcBorders>
              <w:top w:val="single" w:color="000000" w:sz="4" w:space="0"/>
              <w:left w:val="single" w:color="000000" w:sz="4" w:space="0"/>
              <w:bottom w:val="single" w:color="000000" w:sz="4" w:space="0"/>
              <w:right w:val="single" w:color="000000" w:sz="4" w:space="0"/>
            </w:tcBorders>
            <w:vAlign w:val="center"/>
          </w:tcPr>
          <w:p w14:paraId="1DA1D1D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线材</w:t>
            </w:r>
          </w:p>
        </w:tc>
        <w:tc>
          <w:tcPr>
            <w:tcW w:w="2775" w:type="pct"/>
            <w:tcBorders>
              <w:top w:val="single" w:color="000000" w:sz="4" w:space="0"/>
              <w:left w:val="single" w:color="000000" w:sz="4" w:space="0"/>
              <w:bottom w:val="single" w:color="000000" w:sz="4" w:space="0"/>
              <w:right w:val="single" w:color="000000" w:sz="4" w:space="0"/>
            </w:tcBorders>
            <w:vAlign w:val="center"/>
          </w:tcPr>
          <w:p w14:paraId="69006D6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六类非屏蔽网线</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59DF5D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13000</w:t>
            </w:r>
          </w:p>
        </w:tc>
        <w:tc>
          <w:tcPr>
            <w:tcW w:w="536" w:type="pct"/>
            <w:tcBorders>
              <w:top w:val="single" w:color="000000" w:sz="4" w:space="0"/>
              <w:left w:val="single" w:color="000000" w:sz="4" w:space="0"/>
              <w:bottom w:val="single" w:color="000000" w:sz="4" w:space="0"/>
              <w:right w:val="single" w:color="000000" w:sz="4" w:space="0"/>
            </w:tcBorders>
            <w:vAlign w:val="center"/>
          </w:tcPr>
          <w:p w14:paraId="6AAB368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4914470B">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DADF4C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820" w:type="pct"/>
            <w:tcBorders>
              <w:top w:val="single" w:color="000000" w:sz="4" w:space="0"/>
              <w:left w:val="single" w:color="000000" w:sz="4" w:space="0"/>
              <w:bottom w:val="single" w:color="000000" w:sz="4" w:space="0"/>
              <w:right w:val="single" w:color="000000" w:sz="4" w:space="0"/>
            </w:tcBorders>
            <w:vAlign w:val="center"/>
          </w:tcPr>
          <w:p w14:paraId="3A6BC09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水晶头</w:t>
            </w:r>
          </w:p>
        </w:tc>
        <w:tc>
          <w:tcPr>
            <w:tcW w:w="2775" w:type="pct"/>
            <w:tcBorders>
              <w:top w:val="single" w:color="000000" w:sz="4" w:space="0"/>
              <w:left w:val="single" w:color="000000" w:sz="4" w:space="0"/>
              <w:bottom w:val="single" w:color="000000" w:sz="4" w:space="0"/>
              <w:right w:val="single" w:color="000000" w:sz="4" w:space="0"/>
            </w:tcBorders>
            <w:vAlign w:val="center"/>
          </w:tcPr>
          <w:p w14:paraId="2A217B33">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六类水晶头工程级50U镀金100个装 RJ45千兆网线接头 CAT6，100个一盒</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183600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536" w:type="pct"/>
            <w:tcBorders>
              <w:top w:val="single" w:color="000000" w:sz="4" w:space="0"/>
              <w:left w:val="single" w:color="000000" w:sz="4" w:space="0"/>
              <w:bottom w:val="single" w:color="000000" w:sz="4" w:space="0"/>
              <w:right w:val="single" w:color="000000" w:sz="4" w:space="0"/>
            </w:tcBorders>
            <w:vAlign w:val="center"/>
          </w:tcPr>
          <w:p w14:paraId="593C471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盒</w:t>
            </w:r>
          </w:p>
        </w:tc>
      </w:tr>
      <w:tr w14:paraId="0C1C0EF0">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53A45C9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820" w:type="pct"/>
            <w:tcBorders>
              <w:top w:val="single" w:color="000000" w:sz="4" w:space="0"/>
              <w:left w:val="single" w:color="000000" w:sz="4" w:space="0"/>
              <w:bottom w:val="single" w:color="000000" w:sz="4" w:space="0"/>
              <w:right w:val="single" w:color="000000" w:sz="4" w:space="0"/>
            </w:tcBorders>
            <w:vAlign w:val="center"/>
          </w:tcPr>
          <w:p w14:paraId="67B23DB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光纤</w:t>
            </w:r>
          </w:p>
        </w:tc>
        <w:tc>
          <w:tcPr>
            <w:tcW w:w="2775" w:type="pct"/>
            <w:tcBorders>
              <w:top w:val="single" w:color="000000" w:sz="4" w:space="0"/>
              <w:left w:val="single" w:color="000000" w:sz="4" w:space="0"/>
              <w:bottom w:val="single" w:color="000000" w:sz="4" w:space="0"/>
              <w:right w:val="single" w:color="000000" w:sz="4" w:space="0"/>
            </w:tcBorders>
            <w:vAlign w:val="center"/>
          </w:tcPr>
          <w:p w14:paraId="3A18D05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12芯单模</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E3FA37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3000</w:t>
            </w:r>
          </w:p>
        </w:tc>
        <w:tc>
          <w:tcPr>
            <w:tcW w:w="536" w:type="pct"/>
            <w:tcBorders>
              <w:top w:val="single" w:color="000000" w:sz="4" w:space="0"/>
              <w:left w:val="single" w:color="000000" w:sz="4" w:space="0"/>
              <w:bottom w:val="single" w:color="000000" w:sz="4" w:space="0"/>
              <w:right w:val="single" w:color="000000" w:sz="4" w:space="0"/>
            </w:tcBorders>
            <w:vAlign w:val="center"/>
          </w:tcPr>
          <w:p w14:paraId="5C65B1D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51A9359D">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721B07E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820" w:type="pct"/>
            <w:tcBorders>
              <w:top w:val="single" w:color="000000" w:sz="4" w:space="0"/>
              <w:left w:val="single" w:color="000000" w:sz="4" w:space="0"/>
              <w:bottom w:val="single" w:color="000000" w:sz="4" w:space="0"/>
              <w:right w:val="single" w:color="000000" w:sz="4" w:space="0"/>
            </w:tcBorders>
            <w:vAlign w:val="center"/>
          </w:tcPr>
          <w:p w14:paraId="4B8ADCD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喇叭线（室内）</w:t>
            </w:r>
          </w:p>
        </w:tc>
        <w:tc>
          <w:tcPr>
            <w:tcW w:w="2775" w:type="pct"/>
            <w:tcBorders>
              <w:top w:val="single" w:color="000000" w:sz="4" w:space="0"/>
              <w:left w:val="single" w:color="000000" w:sz="4" w:space="0"/>
              <w:bottom w:val="single" w:color="000000" w:sz="4" w:space="0"/>
              <w:right w:val="single" w:color="000000" w:sz="4" w:space="0"/>
            </w:tcBorders>
            <w:vAlign w:val="center"/>
          </w:tcPr>
          <w:p w14:paraId="2014B2DC">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铜芯护套线RVV2*1.5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67E6C5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7000</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DB86BD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5EFCB6E2">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D2D9EA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820" w:type="pct"/>
            <w:tcBorders>
              <w:top w:val="single" w:color="000000" w:sz="4" w:space="0"/>
              <w:left w:val="single" w:color="000000" w:sz="4" w:space="0"/>
              <w:bottom w:val="single" w:color="000000" w:sz="4" w:space="0"/>
              <w:right w:val="single" w:color="000000" w:sz="4" w:space="0"/>
            </w:tcBorders>
            <w:vAlign w:val="center"/>
          </w:tcPr>
          <w:p w14:paraId="2A78568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喇叭线（室外）</w:t>
            </w:r>
          </w:p>
        </w:tc>
        <w:tc>
          <w:tcPr>
            <w:tcW w:w="2775" w:type="pct"/>
            <w:tcBorders>
              <w:top w:val="single" w:color="000000" w:sz="4" w:space="0"/>
              <w:left w:val="single" w:color="000000" w:sz="4" w:space="0"/>
              <w:bottom w:val="single" w:color="000000" w:sz="4" w:space="0"/>
              <w:right w:val="single" w:color="000000" w:sz="4" w:space="0"/>
            </w:tcBorders>
            <w:vAlign w:val="center"/>
          </w:tcPr>
          <w:p w14:paraId="791679F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铜芯护套线RVV2*2.5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7110B2A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2000</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A13466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0858BDA5">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2493D24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820" w:type="pct"/>
            <w:tcBorders>
              <w:top w:val="single" w:color="000000" w:sz="4" w:space="0"/>
              <w:left w:val="single" w:color="000000" w:sz="4" w:space="0"/>
              <w:bottom w:val="single" w:color="000000" w:sz="4" w:space="0"/>
              <w:right w:val="single" w:color="000000" w:sz="4" w:space="0"/>
            </w:tcBorders>
            <w:vAlign w:val="center"/>
          </w:tcPr>
          <w:p w14:paraId="2CA63D9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电源线</w:t>
            </w:r>
          </w:p>
        </w:tc>
        <w:tc>
          <w:tcPr>
            <w:tcW w:w="2775" w:type="pct"/>
            <w:tcBorders>
              <w:top w:val="single" w:color="000000" w:sz="4" w:space="0"/>
              <w:left w:val="single" w:color="000000" w:sz="4" w:space="0"/>
              <w:bottom w:val="single" w:color="000000" w:sz="4" w:space="0"/>
              <w:right w:val="single" w:color="000000" w:sz="4" w:space="0"/>
            </w:tcBorders>
            <w:vAlign w:val="center"/>
          </w:tcPr>
          <w:p w14:paraId="62AF861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铜芯护套线RVV3*1.5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A2EB34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1000</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1602275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6F0A0841">
        <w:tblPrEx>
          <w:tblCellMar>
            <w:top w:w="0" w:type="dxa"/>
            <w:left w:w="108" w:type="dxa"/>
            <w:bottom w:w="0" w:type="dxa"/>
            <w:right w:w="108" w:type="dxa"/>
          </w:tblCellMar>
        </w:tblPrEx>
        <w:trPr>
          <w:trHeight w:val="40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349BE52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820" w:type="pct"/>
            <w:tcBorders>
              <w:top w:val="single" w:color="000000" w:sz="4" w:space="0"/>
              <w:left w:val="single" w:color="000000" w:sz="4" w:space="0"/>
              <w:bottom w:val="single" w:color="000000" w:sz="4" w:space="0"/>
              <w:right w:val="single" w:color="000000" w:sz="4" w:space="0"/>
            </w:tcBorders>
            <w:vAlign w:val="center"/>
          </w:tcPr>
          <w:p w14:paraId="637A359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镀锌线管</w:t>
            </w:r>
          </w:p>
        </w:tc>
        <w:tc>
          <w:tcPr>
            <w:tcW w:w="2775" w:type="pct"/>
            <w:tcBorders>
              <w:top w:val="single" w:color="000000" w:sz="4" w:space="0"/>
              <w:left w:val="single" w:color="000000" w:sz="4" w:space="0"/>
              <w:bottom w:val="single" w:color="000000" w:sz="4" w:space="0"/>
              <w:right w:val="single" w:color="000000" w:sz="4" w:space="0"/>
            </w:tcBorders>
            <w:vAlign w:val="center"/>
          </w:tcPr>
          <w:p w14:paraId="78477A4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DN=25mm，厚度：1.8mm</w:t>
            </w:r>
          </w:p>
        </w:tc>
        <w:tc>
          <w:tcPr>
            <w:tcW w:w="370" w:type="pct"/>
            <w:tcBorders>
              <w:top w:val="single" w:color="000000" w:sz="4" w:space="0"/>
              <w:left w:val="single" w:color="000000" w:sz="4" w:space="0"/>
              <w:bottom w:val="single" w:color="000000" w:sz="4" w:space="0"/>
              <w:right w:val="single" w:color="000000" w:sz="4" w:space="0"/>
            </w:tcBorders>
            <w:vAlign w:val="center"/>
          </w:tcPr>
          <w:p w14:paraId="373DD54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2000</w:t>
            </w:r>
          </w:p>
        </w:tc>
        <w:tc>
          <w:tcPr>
            <w:tcW w:w="536" w:type="pct"/>
            <w:tcBorders>
              <w:top w:val="single" w:color="000000" w:sz="4" w:space="0"/>
              <w:left w:val="single" w:color="000000" w:sz="4" w:space="0"/>
              <w:bottom w:val="single" w:color="000000" w:sz="4" w:space="0"/>
              <w:right w:val="single" w:color="000000" w:sz="4" w:space="0"/>
            </w:tcBorders>
            <w:vAlign w:val="center"/>
          </w:tcPr>
          <w:p w14:paraId="72D4E9B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米</w:t>
            </w:r>
          </w:p>
        </w:tc>
      </w:tr>
      <w:tr w14:paraId="6536BF74">
        <w:tblPrEx>
          <w:tblCellMar>
            <w:top w:w="0" w:type="dxa"/>
            <w:left w:w="108" w:type="dxa"/>
            <w:bottom w:w="0" w:type="dxa"/>
            <w:right w:w="108" w:type="dxa"/>
          </w:tblCellMar>
        </w:tblPrEx>
        <w:trPr>
          <w:trHeight w:val="680" w:hRule="atLeast"/>
        </w:trPr>
        <w:tc>
          <w:tcPr>
            <w:tcW w:w="497" w:type="pct"/>
            <w:tcBorders>
              <w:top w:val="single" w:color="000000" w:sz="4" w:space="0"/>
              <w:left w:val="single" w:color="000000" w:sz="4" w:space="0"/>
              <w:bottom w:val="single" w:color="000000" w:sz="4" w:space="0"/>
              <w:right w:val="single" w:color="000000" w:sz="4" w:space="0"/>
            </w:tcBorders>
            <w:vAlign w:val="center"/>
          </w:tcPr>
          <w:p w14:paraId="624968E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820" w:type="pct"/>
            <w:tcBorders>
              <w:top w:val="single" w:color="000000" w:sz="4" w:space="0"/>
              <w:left w:val="single" w:color="000000" w:sz="4" w:space="0"/>
              <w:bottom w:val="single" w:color="000000" w:sz="4" w:space="0"/>
              <w:right w:val="single" w:color="000000" w:sz="4" w:space="0"/>
            </w:tcBorders>
            <w:vAlign w:val="center"/>
          </w:tcPr>
          <w:p w14:paraId="7D02F3E1">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其它辅助材料（立杆、绝缘胶布、铝塑管、PDU等）</w:t>
            </w:r>
          </w:p>
        </w:tc>
        <w:tc>
          <w:tcPr>
            <w:tcW w:w="2775" w:type="pct"/>
            <w:tcBorders>
              <w:top w:val="single" w:color="000000" w:sz="4" w:space="0"/>
              <w:left w:val="single" w:color="000000" w:sz="4" w:space="0"/>
              <w:bottom w:val="single" w:color="000000" w:sz="4" w:space="0"/>
              <w:right w:val="single" w:color="000000" w:sz="4" w:space="0"/>
            </w:tcBorders>
            <w:vAlign w:val="center"/>
          </w:tcPr>
          <w:p w14:paraId="5F36063E">
            <w:pPr>
              <w:rPr>
                <w:rFonts w:hint="eastAsia" w:cs="宋体"/>
                <w:color w:val="000000" w:themeColor="text1"/>
                <w:szCs w:val="21"/>
                <w14:textFill>
                  <w14:solidFill>
                    <w14:schemeClr w14:val="tx1"/>
                  </w14:solidFill>
                </w14:textFill>
              </w:rPr>
            </w:pPr>
          </w:p>
        </w:tc>
        <w:tc>
          <w:tcPr>
            <w:tcW w:w="370" w:type="pct"/>
            <w:tcBorders>
              <w:top w:val="single" w:color="000000" w:sz="4" w:space="0"/>
              <w:left w:val="single" w:color="000000" w:sz="4" w:space="0"/>
              <w:bottom w:val="single" w:color="000000" w:sz="4" w:space="0"/>
              <w:right w:val="single" w:color="000000" w:sz="4" w:space="0"/>
            </w:tcBorders>
            <w:vAlign w:val="center"/>
          </w:tcPr>
          <w:p w14:paraId="503538B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536" w:type="pct"/>
            <w:tcBorders>
              <w:top w:val="single" w:color="000000" w:sz="4" w:space="0"/>
              <w:left w:val="single" w:color="000000" w:sz="4" w:space="0"/>
              <w:bottom w:val="single" w:color="000000" w:sz="4" w:space="0"/>
              <w:right w:val="single" w:color="000000" w:sz="4" w:space="0"/>
            </w:tcBorders>
            <w:vAlign w:val="center"/>
          </w:tcPr>
          <w:p w14:paraId="51A2FDA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批</w:t>
            </w:r>
          </w:p>
        </w:tc>
      </w:tr>
    </w:tbl>
    <w:p w14:paraId="126AD97F">
      <w:pPr>
        <w:rPr>
          <w:rFonts w:hint="eastAsia"/>
          <w:color w:val="000000" w:themeColor="text1"/>
          <w14:textFill>
            <w14:solidFill>
              <w14:schemeClr w14:val="tx1"/>
            </w14:solidFill>
          </w14:textFill>
        </w:rPr>
      </w:pPr>
    </w:p>
    <w:p w14:paraId="68F039DF">
      <w:pPr>
        <w:jc w:val="cente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军马场学校初中部灯光、音箱设备采购采购清单</w:t>
      </w:r>
    </w:p>
    <w:p w14:paraId="57F965B4">
      <w:pPr>
        <w:rPr>
          <w:rFonts w:hint="eastAsia"/>
          <w:color w:val="000000" w:themeColor="text1"/>
          <w:szCs w:val="21"/>
          <w14:textFill>
            <w14:solidFill>
              <w14:schemeClr w14:val="tx1"/>
            </w14:solidFill>
          </w14:textFill>
        </w:rPr>
      </w:pPr>
    </w:p>
    <w:tbl>
      <w:tblPr>
        <w:tblStyle w:val="81"/>
        <w:tblW w:w="9225" w:type="dxa"/>
        <w:tblInd w:w="93" w:type="dxa"/>
        <w:tblLayout w:type="autofit"/>
        <w:tblCellMar>
          <w:top w:w="0" w:type="dxa"/>
          <w:left w:w="108" w:type="dxa"/>
          <w:bottom w:w="0" w:type="dxa"/>
          <w:right w:w="108" w:type="dxa"/>
        </w:tblCellMar>
      </w:tblPr>
      <w:tblGrid>
        <w:gridCol w:w="2520"/>
        <w:gridCol w:w="4545"/>
        <w:gridCol w:w="1080"/>
        <w:gridCol w:w="1080"/>
      </w:tblGrid>
      <w:tr w14:paraId="6AFB8BAD">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nil"/>
              <w:right w:val="single" w:color="000000" w:sz="8" w:space="0"/>
            </w:tcBorders>
            <w:shd w:val="clear" w:color="auto" w:fill="auto"/>
            <w:vAlign w:val="center"/>
          </w:tcPr>
          <w:p w14:paraId="3DA1E00E">
            <w:pPr>
              <w:widowControl/>
              <w:jc w:val="center"/>
              <w:textAlignment w:val="center"/>
              <w:rPr>
                <w:rFonts w:hint="eastAsia" w:cs="宋体"/>
                <w:b/>
                <w:bCs/>
                <w:color w:val="000000" w:themeColor="text1"/>
                <w14:textFill>
                  <w14:solidFill>
                    <w14:schemeClr w14:val="tx1"/>
                  </w14:solidFill>
                </w14:textFill>
              </w:rPr>
            </w:pPr>
            <w:r>
              <w:rPr>
                <w:rFonts w:hint="eastAsia" w:cs="宋体"/>
                <w:b/>
                <w:bCs/>
                <w:color w:val="000000" w:themeColor="text1"/>
                <w:kern w:val="0"/>
                <w:lang w:bidi="ar"/>
                <w14:textFill>
                  <w14:solidFill>
                    <w14:schemeClr w14:val="tx1"/>
                  </w14:solidFill>
                </w14:textFill>
              </w:rPr>
              <w:t>一、报告厅灯光音响</w:t>
            </w:r>
          </w:p>
        </w:tc>
      </w:tr>
      <w:tr w14:paraId="170BB6D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0B4941">
            <w:pPr>
              <w:widowControl/>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序号</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361A04">
            <w:pPr>
              <w:widowControl/>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设备名称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210746">
            <w:pPr>
              <w:widowControl/>
              <w:jc w:val="center"/>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单位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3D9FE">
            <w:pPr>
              <w:widowControl/>
              <w:jc w:val="center"/>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数量</w:t>
            </w:r>
          </w:p>
        </w:tc>
      </w:tr>
      <w:tr w14:paraId="0361689D">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0E318EF">
            <w:pPr>
              <w:widowControl/>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1 、音响系统</w:t>
            </w:r>
          </w:p>
        </w:tc>
      </w:tr>
      <w:tr w14:paraId="3824B78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7121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9F60F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双10寸三分频全频线阵音箱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53915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6D01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8</w:t>
            </w:r>
          </w:p>
        </w:tc>
      </w:tr>
      <w:tr w14:paraId="0663172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8D23A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862B0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双15寸低频线阵音箱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3837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A5040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45A659A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679F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1CE4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线阵音箱吊架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DE7C0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E3702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3508B260">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D1D4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ADF71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15寸全频远程号角音箱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D5252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EB5A2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DDA492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D15C1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7D5A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单15寸全频音箱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F8E5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B6CD9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5BC12372">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837C4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4F99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单10寸全频音箱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AE9A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F67F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w:t>
            </w:r>
          </w:p>
        </w:tc>
      </w:tr>
      <w:tr w14:paraId="6D9381B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728A5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8F146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单12寸全频音箱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33D3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90620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72A28A2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A94F2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31FA2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单12寸返听音箱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1CBB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8BF28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6B87E56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23D66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A5A30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单12寸全频音箱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B141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91394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704C83A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8A914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3589C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双18寸超低频扬声器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E89B7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E977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2A98B1F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0D51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490C1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四通道开关电源功放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5696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897E5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2566C61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5A883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139DA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四通道开关电源功放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4BB4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39367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6D5D656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F8BB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C06F1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双通道超大功率功放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F68C3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448D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D7075A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59BD5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EF499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双通道开关电源功放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5AFE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329A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DCE3C2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0CAD2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60BB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双通道超大功率功放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E6454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1E0A1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FFBAC62">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EADD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36C53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16x16DANTE分布式动态数字音频处理器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DA6E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B3D66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B8BFA10">
        <w:tblPrEx>
          <w:tblCellMar>
            <w:top w:w="0" w:type="dxa"/>
            <w:left w:w="108" w:type="dxa"/>
            <w:bottom w:w="0" w:type="dxa"/>
            <w:right w:w="108" w:type="dxa"/>
          </w:tblCellMar>
        </w:tblPrEx>
        <w:trPr>
          <w:trHeight w:val="48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AF81D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A6958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4x8 FIR数字扬声器处理器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11F01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3B57D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2C2D806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C00C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9A74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30路数字调音台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84758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53F01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5ABFFB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FC1A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31A7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音控室监听音箱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FB84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2B39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42C4CB7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C435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D587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专业声卡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026C7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79F3C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B8AEF5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F6C30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51A6E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无线会议系统主机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7679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48B7F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3BE263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5C6F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FDD6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无线主席发言单元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66CE9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34731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CDB05E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E0593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18A11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无线代表发言单元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17F3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1B30D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7</w:t>
            </w:r>
          </w:p>
        </w:tc>
      </w:tr>
      <w:tr w14:paraId="6A7E0EA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78EF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1A02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无线话筒手持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C8A5F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DDDA3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427E471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0F224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A18E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无线话筒头戴</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68963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6A39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146BC82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05D65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C452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扇指向阵列话筒</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C75E1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BA878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679F2980">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B0D8B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5FF72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5V专用电源</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8748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97C74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13B2C41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2C857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B79EB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话筒安装支架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B7BA2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0026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785A6E9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C94BE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780CF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自适应数字音频管理中心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ABC54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3CA3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8F3D400">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2E41A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E24E2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电动话筒升降器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6537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2876D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7E30B47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62CB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F7866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控制器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0C4A0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6EE96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7D7B79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EA76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A7C29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高杆话筒架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C64E5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0E5F4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7D78F46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AB8B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E0CBB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八路大功率中控滤波电源时序器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9B2E5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E00C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1A7FADA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E6225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E38DC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42U机柜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8DAD6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B5A3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w:t>
            </w:r>
          </w:p>
        </w:tc>
      </w:tr>
      <w:tr w14:paraId="6D0DAC8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89660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3F2D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话筒接口盒</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53A59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54313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17B82BC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177A5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2CF27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100×200金属桥架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1418E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米</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A23A1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300</w:t>
            </w:r>
          </w:p>
        </w:tc>
      </w:tr>
      <w:tr w14:paraId="0515372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5A79D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FC269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其它安装附材线材及安装配件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3DDE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E4D6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25F103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5094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AF64C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提词器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BEC1A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2E25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536AC8F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233C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B9B10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对讲机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7F288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6BE7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w:t>
            </w:r>
          </w:p>
        </w:tc>
      </w:tr>
      <w:tr w14:paraId="7B364D35">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A72D52E">
            <w:pPr>
              <w:widowControl/>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2、舞台灯光</w:t>
            </w:r>
          </w:p>
        </w:tc>
      </w:tr>
      <w:tr w14:paraId="3454B2E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B8A90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0B75C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LED变焦面光灯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87D2B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E3DD6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18</w:t>
            </w:r>
          </w:p>
        </w:tc>
      </w:tr>
      <w:tr w14:paraId="280007A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83D19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EAB7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LED染色投光灯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4703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FC929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60</w:t>
            </w:r>
          </w:p>
        </w:tc>
      </w:tr>
      <w:tr w14:paraId="4D37F29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AFF5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93619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电脑光束摇头灯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0A4C8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76ED9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r>
      <w:tr w14:paraId="2EC8566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66DCB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51377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电脑光束摇头灯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602BC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41B66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10</w:t>
            </w:r>
          </w:p>
        </w:tc>
      </w:tr>
      <w:tr w14:paraId="6C1671D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AC11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F223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LED图案染色摇头灯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F5FCD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159F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r>
      <w:tr w14:paraId="70223C32">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7A3D4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ED83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LED平板会议灯（448颗）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D48F6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D4410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22</w:t>
            </w:r>
          </w:p>
        </w:tc>
      </w:tr>
      <w:tr w14:paraId="4563C31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4C18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99626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LED嵌入式会议灯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43C51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7F4B1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10</w:t>
            </w:r>
          </w:p>
        </w:tc>
      </w:tr>
      <w:tr w14:paraId="760EFCD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D724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E64FD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350追光灯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5158C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1769D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5A66F945">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4AB91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6F46E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24路电柜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7022B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482F7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01A8F4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6E9A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B5A80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信号放大器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E224B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7AE4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32615BB5">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98BBA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E5F5E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灯光控台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AF486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74B3E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11BA80D">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197A7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1C97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双雾机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CB0C9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D046B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1D4A957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16333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7A65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雾油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3A6CB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箱</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6134C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4A1696B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03547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4CBFC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灯钩</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A5415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A7A33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170</w:t>
            </w:r>
          </w:p>
        </w:tc>
      </w:tr>
      <w:tr w14:paraId="362553E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5342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B08E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保险绳</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D0BF2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F9F63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135</w:t>
            </w:r>
          </w:p>
        </w:tc>
      </w:tr>
      <w:tr w14:paraId="7D9AE399">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D22B87B">
            <w:pPr>
              <w:widowControl/>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3、舞台机械</w:t>
            </w:r>
          </w:p>
        </w:tc>
      </w:tr>
      <w:tr w14:paraId="74F1B43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D4920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F521E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固定前檐吊杆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3DC77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BF81F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87792B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E140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07873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固定对开幕布吊杆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16EE8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E902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w:t>
            </w:r>
          </w:p>
        </w:tc>
      </w:tr>
      <w:tr w14:paraId="394CAC5D">
        <w:tblPrEx>
          <w:tblCellMar>
            <w:top w:w="0" w:type="dxa"/>
            <w:left w:w="108" w:type="dxa"/>
            <w:bottom w:w="0" w:type="dxa"/>
            <w:right w:w="108" w:type="dxa"/>
          </w:tblCellMar>
        </w:tblPrEx>
        <w:trPr>
          <w:trHeight w:val="36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20E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55BBD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固定顶光灯杆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A4D5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6EB1D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w:t>
            </w:r>
          </w:p>
        </w:tc>
      </w:tr>
      <w:tr w14:paraId="30A4736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3B93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EFB4F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固定面光杆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7ECC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0972C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D79642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42F4E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3A0D4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固定侧光灯杆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6B83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EDFE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2160789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E4911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E6077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固定条幕吊杆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58BEB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799EA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2D1DE1D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16F9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E8BB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电动大幕、底幕拉幕机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657A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12A5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6CE20B4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A1AAB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0AC5B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固定承重钢结构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59951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5F9AE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311B95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AE406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ECE0B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机械控制系统</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DFB0A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1FDD2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176446A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497DE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C4D53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前檐幕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6AC6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886B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90</w:t>
            </w:r>
          </w:p>
        </w:tc>
      </w:tr>
      <w:tr w14:paraId="5A18DD7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7791C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48B22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前檐幕衬里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6B877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3FE1B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30</w:t>
            </w:r>
          </w:p>
        </w:tc>
      </w:tr>
      <w:tr w14:paraId="6D51CED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686F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490C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对开大幕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515AD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3051E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420</w:t>
            </w:r>
          </w:p>
        </w:tc>
      </w:tr>
      <w:tr w14:paraId="2717BA32">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E7E5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ECF92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对开大幕衬里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5B54B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A5651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140</w:t>
            </w:r>
          </w:p>
        </w:tc>
      </w:tr>
      <w:tr w14:paraId="75A37AB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FFAA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CAE2F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对开二幕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80D94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5F97D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420</w:t>
            </w:r>
          </w:p>
        </w:tc>
      </w:tr>
      <w:tr w14:paraId="7071531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96155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1E113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对开二幕衬里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C04F8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A54A7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140</w:t>
            </w:r>
          </w:p>
        </w:tc>
      </w:tr>
      <w:tr w14:paraId="16C199F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59643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029A9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对开底幕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E044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510C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420</w:t>
            </w:r>
          </w:p>
        </w:tc>
      </w:tr>
      <w:tr w14:paraId="47776CB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70D20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2728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对开底幕衬里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BADA4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91E58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140</w:t>
            </w:r>
          </w:p>
        </w:tc>
      </w:tr>
      <w:tr w14:paraId="3218C3D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E5468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A263C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横幕条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1D000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5E84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204</w:t>
            </w:r>
          </w:p>
        </w:tc>
      </w:tr>
      <w:tr w14:paraId="7062B05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9FE7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13620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横幕条衬里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1F77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DACA2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68</w:t>
            </w:r>
          </w:p>
        </w:tc>
      </w:tr>
      <w:tr w14:paraId="1E3FFDE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D839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FAB5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竖幕条（侧幕）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3F42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327B1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168</w:t>
            </w:r>
          </w:p>
        </w:tc>
      </w:tr>
      <w:tr w14:paraId="2001CE80">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E3C4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62969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竖幕条衬里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4958A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m2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CE47F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56</w:t>
            </w:r>
          </w:p>
        </w:tc>
      </w:tr>
      <w:tr w14:paraId="7EAD57D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3AA46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730B4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高强静音舞台专用滑轮组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9867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0A0DF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90</w:t>
            </w:r>
          </w:p>
        </w:tc>
      </w:tr>
      <w:tr w14:paraId="5E54C3D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3C966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ADC1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航空钢丝绳</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7C120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米</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8C2F4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300</w:t>
            </w:r>
          </w:p>
        </w:tc>
      </w:tr>
      <w:tr w14:paraId="7852E8E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07B6D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D2DFB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电缆、控制电缆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5CC14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5E336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67D6467">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62AB61A5">
            <w:pPr>
              <w:widowControl/>
              <w:jc w:val="center"/>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二、阶梯教室音响系统</w:t>
            </w:r>
          </w:p>
        </w:tc>
      </w:tr>
      <w:tr w14:paraId="63E8759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6D811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5684C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32单元5寸有源DANTE阵列扬声器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05AA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B07D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711C316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1880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D58BF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6×4"无源全频扬声器（7单元）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563AD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84FD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30B6F99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08D37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F892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双通道开关电源功放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21CC3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0BD3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15BE456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95559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3B956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4x8 FIR数字扬声器处理器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F22DF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EF848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C9C2155">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4FEA8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45387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30路数字调音台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F68DF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5E74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D58E883">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9C022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E31B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专业声卡</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A276E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A9821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9345E5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10EAF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B58E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无线会议系统主机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4CC69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C4E73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47B24E3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462C0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0A627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无线主席发言单元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1903F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0DF78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1B8593B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C7269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B5F1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无线代表发言单元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11C21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F495F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w:t>
            </w:r>
          </w:p>
        </w:tc>
      </w:tr>
      <w:tr w14:paraId="1F6779E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F3BA7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BD0C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无线话筒手持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5EDBD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8CC44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179ABED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6902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34915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八路大功率中控滤波电源时序器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27C6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2D8E5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7343913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13FE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62A0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42U机柜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82CF1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CE73F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B54D8A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8F3A4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606DF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话筒接口盒</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9151C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6BC09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74AFABE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621C3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58BCB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音频线</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213A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6A9A9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31D174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DA44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6952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扬声器线缆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2E53E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B4AA3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ED08450">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3EA6B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D76E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其它安装附材及安装配件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7C722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5D83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F5F56C0">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B5A8A8E">
            <w:pPr>
              <w:widowControl/>
              <w:jc w:val="center"/>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三、行政大会议室音响系统</w:t>
            </w:r>
          </w:p>
        </w:tc>
      </w:tr>
      <w:tr w14:paraId="01B2BE1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6584A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DCFB6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12x8动态数字音频处理器（5A算法）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88AC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E6665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25EAB59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9137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7C9AE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3.5寸触控屏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92385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D548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872ADF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FC255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EA6A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12×4"无源全频扬声器（13单元）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6ED56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CAA5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21412F1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DDDB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39875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6寸天花扬声器(HiFi)</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B5BE8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4C7B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w:t>
            </w:r>
          </w:p>
        </w:tc>
      </w:tr>
      <w:tr w14:paraId="20213674">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1657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9FA74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双通道开关电源功放</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B2A5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BA67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1743D6E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4B30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A2472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数字功率放大器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962C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3CA4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F210AF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3F523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569875">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无线会议系统主机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85737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0A766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6EA0B4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B8FEF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5C66E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无线主席发言单元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99FF3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7497E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1F2AA6E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ED35A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B0244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无线代表发言单元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A96DB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0564C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9</w:t>
            </w:r>
          </w:p>
        </w:tc>
      </w:tr>
      <w:tr w14:paraId="11715EFB">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C3122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B9B7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无线话筒手持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101F0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2AB4E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5BE00FF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35DA1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DD0B5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专业无线头戴</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6778E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3464A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17C13CA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F9C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E9EB62">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42U机柜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7C3F0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E7F0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2072F0A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570E0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41B3F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综合接口盒</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F4C1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A7FC0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064EFB7E">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DE5C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D36C2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音频线</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AECFC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1F580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46A4A6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3811D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91F69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扬声器线缆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ABA1B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B23046">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B34EFA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643CB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3468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其它安装附材及安装配件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3DD46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9662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0E3B659">
        <w:tblPrEx>
          <w:tblCellMar>
            <w:top w:w="0" w:type="dxa"/>
            <w:left w:w="108" w:type="dxa"/>
            <w:bottom w:w="0" w:type="dxa"/>
            <w:right w:w="108" w:type="dxa"/>
          </w:tblCellMar>
        </w:tblPrEx>
        <w:trPr>
          <w:trHeight w:val="400" w:hRule="atLeast"/>
        </w:trPr>
        <w:tc>
          <w:tcPr>
            <w:tcW w:w="92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7DA5E80C">
            <w:pPr>
              <w:widowControl/>
              <w:jc w:val="center"/>
              <w:textAlignment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kern w:val="0"/>
                <w:lang w:bidi="ar"/>
                <w14:textFill>
                  <w14:solidFill>
                    <w14:schemeClr w14:val="tx1"/>
                  </w14:solidFill>
                </w14:textFill>
              </w:rPr>
              <w:t>四、小会议室音响系统</w:t>
            </w:r>
          </w:p>
        </w:tc>
      </w:tr>
      <w:tr w14:paraId="2ECC122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83E0F0">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7CD0F7">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8x8动态数字音频处理器（5A算法）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CE63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857C8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315422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EFC9E">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31A49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3.5寸触控屏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E1202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03C78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14CAFD7">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431CA">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C045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6寸天花扬声器(HiFi)</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DCC96D">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1B9EA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w:t>
            </w:r>
          </w:p>
        </w:tc>
      </w:tr>
      <w:tr w14:paraId="68D2B721">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EFFA1C">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1.4.</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92530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数字功率放大器</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476A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A27323">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3D3F498">
        <w:tblPrEx>
          <w:tblCellMar>
            <w:top w:w="0" w:type="dxa"/>
            <w:left w:w="108" w:type="dxa"/>
            <w:bottom w:w="0" w:type="dxa"/>
            <w:right w:w="108" w:type="dxa"/>
          </w:tblCellMar>
        </w:tblPrEx>
        <w:trPr>
          <w:trHeight w:val="36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0C19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1.5.</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D49A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无线会议系统主机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D7298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BCB9A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5B95CB0">
        <w:tblPrEx>
          <w:tblCellMar>
            <w:top w:w="0" w:type="dxa"/>
            <w:left w:w="108" w:type="dxa"/>
            <w:bottom w:w="0" w:type="dxa"/>
            <w:right w:w="108" w:type="dxa"/>
          </w:tblCellMar>
        </w:tblPrEx>
        <w:trPr>
          <w:trHeight w:val="36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7D9C5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1.6.</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2A66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无线主席发言单元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790384">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40B54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516ECFBF">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C9909">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1.7.</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0873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无线代表发言单元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350A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支</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3F5B2A">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5</w:t>
            </w:r>
          </w:p>
        </w:tc>
      </w:tr>
      <w:tr w14:paraId="35E34B0C">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A6049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1.8.</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096BA6">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无线话筒手持</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74672">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套</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B3E060">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001DC888">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9281D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1.9.</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675431">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42U机柜</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A4577">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0AD5B1">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3AE7FA19">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25C3D">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1.10.</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6A4A13">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综合接口盒</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652CFF">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个</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C94908">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2</w:t>
            </w:r>
          </w:p>
        </w:tc>
      </w:tr>
      <w:tr w14:paraId="6A2FE00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17CDBB">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1.11.</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3F02CF">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音频线</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7569E">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9FB5A9">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7D560D0A">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9F934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1.12.</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AF2F4">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扬声器线缆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B1A60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D2678B">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r w14:paraId="66B4B086">
        <w:tblPrEx>
          <w:tblCellMar>
            <w:top w:w="0" w:type="dxa"/>
            <w:left w:w="108" w:type="dxa"/>
            <w:bottom w:w="0" w:type="dxa"/>
            <w:right w:w="108" w:type="dxa"/>
          </w:tblCellMar>
        </w:tblPrEx>
        <w:trPr>
          <w:trHeight w:val="400" w:hRule="atLeast"/>
        </w:trPr>
        <w:tc>
          <w:tcPr>
            <w:tcW w:w="25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C9DFC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1.13.</w:t>
            </w:r>
          </w:p>
        </w:tc>
        <w:tc>
          <w:tcPr>
            <w:tcW w:w="45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7E68F8">
            <w:pPr>
              <w:widowControl/>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其它安装附材及安装配件</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CCBC5">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批</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96678C">
            <w:pPr>
              <w:widowControl/>
              <w:jc w:val="center"/>
              <w:textAlignment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lang w:bidi="ar"/>
                <w14:textFill>
                  <w14:solidFill>
                    <w14:schemeClr w14:val="tx1"/>
                  </w14:solidFill>
                </w14:textFill>
              </w:rPr>
              <w:t>1</w:t>
            </w:r>
          </w:p>
        </w:tc>
      </w:tr>
    </w:tbl>
    <w:p w14:paraId="42ACF44D">
      <w:pPr>
        <w:rPr>
          <w:rFonts w:hint="eastAsia"/>
          <w:color w:val="000000" w:themeColor="text1"/>
          <w14:textFill>
            <w14:solidFill>
              <w14:schemeClr w14:val="tx1"/>
            </w14:solidFill>
          </w14:textFill>
        </w:rPr>
      </w:pPr>
    </w:p>
    <w:p w14:paraId="1D11402F">
      <w:pPr>
        <w:rPr>
          <w:rFonts w:hint="eastAsia"/>
          <w:color w:val="000000" w:themeColor="text1"/>
          <w14:textFill>
            <w14:solidFill>
              <w14:schemeClr w14:val="tx1"/>
            </w14:solidFill>
          </w14:textFill>
        </w:rPr>
      </w:pPr>
    </w:p>
    <w:p w14:paraId="621ACAFF">
      <w:pPr>
        <w:jc w:val="center"/>
        <w:rPr>
          <w:rFonts w:hint="eastAsia"/>
          <w:color w:val="000000" w:themeColor="text1"/>
          <w:sz w:val="44"/>
          <w:szCs w:val="44"/>
          <w14:textFill>
            <w14:solidFill>
              <w14:schemeClr w14:val="tx1"/>
            </w14:solidFill>
          </w14:textFill>
        </w:rPr>
      </w:pPr>
    </w:p>
    <w:p w14:paraId="2A0A3093">
      <w:pPr>
        <w:jc w:val="center"/>
        <w:rPr>
          <w:rFonts w:hint="eastAsia"/>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技术需求</w:t>
      </w:r>
    </w:p>
    <w:tbl>
      <w:tblPr>
        <w:tblStyle w:val="81"/>
        <w:tblW w:w="513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9"/>
        <w:gridCol w:w="1527"/>
        <w:gridCol w:w="7193"/>
      </w:tblGrid>
      <w:tr w14:paraId="3CB212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tcBorders>
              <w:bottom w:val="single" w:color="auto" w:sz="4" w:space="0"/>
            </w:tcBorders>
            <w:shd w:val="clear" w:color="auto" w:fill="auto"/>
            <w:noWrap/>
            <w:vAlign w:val="center"/>
          </w:tcPr>
          <w:p w14:paraId="76C1F14A">
            <w:pPr>
              <w:widowControl/>
              <w:spacing w:line="276" w:lineRule="auto"/>
              <w:jc w:val="center"/>
              <w:rPr>
                <w:rFonts w:hint="eastAsia" w:ascii="仿宋" w:hAnsi="仿宋" w:eastAsia="仿宋" w:cs="宋体"/>
                <w:b/>
                <w:bCs/>
                <w:color w:val="000000" w:themeColor="text1"/>
                <w:kern w:val="0"/>
                <w:sz w:val="28"/>
                <w:szCs w:val="28"/>
                <w14:textFill>
                  <w14:solidFill>
                    <w14:schemeClr w14:val="tx1"/>
                  </w14:solidFill>
                </w14:textFill>
              </w:rPr>
            </w:pPr>
            <w:bookmarkStart w:id="300" w:name="RANGE!A1:E130"/>
            <w:r>
              <w:rPr>
                <w:rFonts w:hint="eastAsia" w:ascii="仿宋" w:hAnsi="仿宋" w:eastAsia="仿宋" w:cs="宋体"/>
                <w:b/>
                <w:bCs/>
                <w:color w:val="000000" w:themeColor="text1"/>
                <w:kern w:val="0"/>
                <w:sz w:val="28"/>
                <w:szCs w:val="28"/>
                <w14:textFill>
                  <w14:solidFill>
                    <w14:schemeClr w14:val="tx1"/>
                  </w14:solidFill>
                </w14:textFill>
              </w:rPr>
              <w:t>序号</w:t>
            </w:r>
            <w:bookmarkEnd w:id="300"/>
          </w:p>
        </w:tc>
        <w:tc>
          <w:tcPr>
            <w:tcW w:w="808" w:type="pct"/>
            <w:shd w:val="clear" w:color="auto" w:fill="auto"/>
            <w:noWrap/>
            <w:vAlign w:val="center"/>
          </w:tcPr>
          <w:p w14:paraId="48869601">
            <w:pPr>
              <w:widowControl/>
              <w:spacing w:line="276" w:lineRule="auto"/>
              <w:jc w:val="center"/>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设备名称</w:t>
            </w:r>
          </w:p>
        </w:tc>
        <w:tc>
          <w:tcPr>
            <w:tcW w:w="3790" w:type="pct"/>
            <w:shd w:val="clear" w:color="auto" w:fill="auto"/>
            <w:noWrap/>
            <w:vAlign w:val="center"/>
          </w:tcPr>
          <w:p w14:paraId="06C742AB">
            <w:pPr>
              <w:widowControl/>
              <w:spacing w:line="276" w:lineRule="auto"/>
              <w:jc w:val="center"/>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技术参数要求</w:t>
            </w:r>
          </w:p>
        </w:tc>
      </w:tr>
      <w:tr w14:paraId="28882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2" w:type="pct"/>
            <w:tcBorders>
              <w:top w:val="single" w:color="auto" w:sz="4" w:space="0"/>
              <w:bottom w:val="single" w:color="auto" w:sz="4" w:space="0"/>
            </w:tcBorders>
            <w:shd w:val="clear" w:color="auto" w:fill="auto"/>
            <w:vAlign w:val="center"/>
          </w:tcPr>
          <w:p w14:paraId="52F4CF00">
            <w:pPr>
              <w:widowControl/>
              <w:spacing w:line="276" w:lineRule="auto"/>
              <w:jc w:val="center"/>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1</w:t>
            </w:r>
          </w:p>
        </w:tc>
        <w:tc>
          <w:tcPr>
            <w:tcW w:w="4598" w:type="pct"/>
            <w:gridSpan w:val="2"/>
            <w:tcBorders>
              <w:top w:val="single" w:color="auto" w:sz="4" w:space="0"/>
              <w:bottom w:val="single" w:color="auto" w:sz="4" w:space="0"/>
            </w:tcBorders>
            <w:shd w:val="clear" w:color="auto" w:fill="auto"/>
            <w:vAlign w:val="center"/>
          </w:tcPr>
          <w:p w14:paraId="19F78EC2">
            <w:pPr>
              <w:widowControl/>
              <w:spacing w:line="276" w:lineRule="auto"/>
              <w:rPr>
                <w:rFonts w:hint="eastAsia" w:ascii="仿宋" w:hAnsi="仿宋" w:eastAsia="仿宋" w:cs="宋体"/>
                <w:b/>
                <w:bCs/>
                <w:color w:val="000000" w:themeColor="text1"/>
                <w:kern w:val="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一、报告厅灯光音响</w:t>
            </w:r>
          </w:p>
        </w:tc>
      </w:tr>
      <w:tr w14:paraId="1703A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0" w:hRule="atLeast"/>
        </w:trPr>
        <w:tc>
          <w:tcPr>
            <w:tcW w:w="402" w:type="pct"/>
            <w:tcBorders>
              <w:top w:val="single" w:color="auto" w:sz="4" w:space="0"/>
            </w:tcBorders>
            <w:shd w:val="clear" w:color="auto" w:fill="auto"/>
            <w:vAlign w:val="center"/>
          </w:tcPr>
          <w:p w14:paraId="2087EA8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808" w:type="pct"/>
            <w:shd w:val="clear" w:color="auto" w:fill="auto"/>
            <w:vAlign w:val="center"/>
          </w:tcPr>
          <w:p w14:paraId="5EB4B40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双10寸三分频全频线阵音箱</w:t>
            </w:r>
          </w:p>
        </w:tc>
        <w:tc>
          <w:tcPr>
            <w:tcW w:w="3790" w:type="pct"/>
            <w:shd w:val="clear" w:color="auto" w:fill="auto"/>
          </w:tcPr>
          <w:p w14:paraId="1C518E8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1、三分频线阵全频扬声器：单元数量总数不少于4只；</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2、频率响应 (±3dB) ：优于50Hz–18kHz；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3、单只最大声压级：MHF≥133dB；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4、指向性：水平指向性100°±10°，垂直可变，取决于阵列的长度和配置</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5、扬声器RMS功率：≥LF:400W，MHF:250W；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6、三分频全频扬声器，可选内置两分频和外置三分频</w:t>
            </w:r>
          </w:p>
        </w:tc>
      </w:tr>
      <w:tr w14:paraId="3C8E3D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6F78C44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808" w:type="pct"/>
            <w:shd w:val="clear" w:color="auto" w:fill="auto"/>
            <w:vAlign w:val="center"/>
          </w:tcPr>
          <w:p w14:paraId="4AD6D32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双15寸低频线阵音箱</w:t>
            </w:r>
          </w:p>
        </w:tc>
        <w:tc>
          <w:tcPr>
            <w:tcW w:w="3790" w:type="pct"/>
            <w:shd w:val="clear" w:color="auto" w:fill="auto"/>
          </w:tcPr>
          <w:p w14:paraId="47A1833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1、低频扬声器：2只不小于15"低频单元组成；</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2、频率响应 (±3dB) ：优于45Hz–1000Hz；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3、单只最大声压级：≥132dB；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4、扬声器RMS功率：≥800W；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5、灵敏度：≥98dB</w:t>
            </w:r>
          </w:p>
        </w:tc>
      </w:tr>
      <w:tr w14:paraId="5F03BD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402" w:type="pct"/>
            <w:shd w:val="clear" w:color="auto" w:fill="auto"/>
            <w:vAlign w:val="center"/>
          </w:tcPr>
          <w:p w14:paraId="1C23F4E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808" w:type="pct"/>
            <w:shd w:val="clear" w:color="auto" w:fill="auto"/>
            <w:vAlign w:val="center"/>
          </w:tcPr>
          <w:p w14:paraId="4540E3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线阵音箱吊架</w:t>
            </w:r>
          </w:p>
        </w:tc>
        <w:tc>
          <w:tcPr>
            <w:tcW w:w="3790" w:type="pct"/>
            <w:shd w:val="clear" w:color="auto" w:fill="auto"/>
            <w:vAlign w:val="center"/>
          </w:tcPr>
          <w:p w14:paraId="0EF2E0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1、全钢结构吊架，与线阵音箱配套使用。</w:t>
            </w:r>
          </w:p>
        </w:tc>
      </w:tr>
      <w:tr w14:paraId="704BE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6DE43EA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808" w:type="pct"/>
            <w:shd w:val="clear" w:color="auto" w:fill="auto"/>
            <w:vAlign w:val="center"/>
          </w:tcPr>
          <w:p w14:paraId="6CC360B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15寸全频远程号角音箱</w:t>
            </w:r>
          </w:p>
        </w:tc>
        <w:tc>
          <w:tcPr>
            <w:tcW w:w="3790" w:type="pct"/>
            <w:shd w:val="clear" w:color="auto" w:fill="auto"/>
            <w:vAlign w:val="center"/>
          </w:tcPr>
          <w:p w14:paraId="5656E3C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1、1只不小于T100-44中高音同轴单元，1只不小于15"低频单元。</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2、频率响应(-3dB)：优于48Hz-20kHz，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3、额定功率：≥750W。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4、最大声压级：≥ 133dB/139dB(峰值)。</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5、灵敏度：≥106dB。(1W/1m)</w:t>
            </w:r>
          </w:p>
        </w:tc>
      </w:tr>
      <w:tr w14:paraId="77B1F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02" w:type="pct"/>
            <w:shd w:val="clear" w:color="auto" w:fill="auto"/>
            <w:vAlign w:val="center"/>
          </w:tcPr>
          <w:p w14:paraId="712D185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808" w:type="pct"/>
            <w:shd w:val="clear" w:color="auto" w:fill="auto"/>
            <w:vAlign w:val="center"/>
          </w:tcPr>
          <w:p w14:paraId="584A69D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单15寸全频音箱</w:t>
            </w:r>
          </w:p>
        </w:tc>
        <w:tc>
          <w:tcPr>
            <w:tcW w:w="3790" w:type="pct"/>
            <w:shd w:val="clear" w:color="auto" w:fill="auto"/>
            <w:vAlign w:val="center"/>
          </w:tcPr>
          <w:p w14:paraId="63C3A3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1、两分频全频扬声器。</w:t>
            </w:r>
          </w:p>
          <w:p w14:paraId="1E5BBF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2、频率响应(±3dB)：优于45Hz-18kHz。</w:t>
            </w:r>
            <w:r>
              <w:rPr>
                <w:rFonts w:hint="eastAsia" w:ascii="仿宋" w:hAnsi="仿宋" w:eastAsia="仿宋" w:cs="宋体"/>
                <w:color w:val="000000" w:themeColor="text1"/>
                <w:kern w:val="0"/>
                <w:sz w:val="20"/>
                <w:szCs w:val="20"/>
                <w14:textFill>
                  <w14:solidFill>
                    <w14:schemeClr w14:val="tx1"/>
                  </w14:solidFill>
                </w14:textFill>
              </w:rPr>
              <w:br w:type="page"/>
            </w:r>
          </w:p>
          <w:p w14:paraId="015F5B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3、额定功率(RMS)：≥500W。</w:t>
            </w:r>
            <w:r>
              <w:rPr>
                <w:rFonts w:hint="eastAsia" w:ascii="仿宋" w:hAnsi="仿宋" w:eastAsia="仿宋" w:cs="宋体"/>
                <w:color w:val="000000" w:themeColor="text1"/>
                <w:kern w:val="0"/>
                <w:sz w:val="20"/>
                <w:szCs w:val="20"/>
                <w14:textFill>
                  <w14:solidFill>
                    <w14:schemeClr w14:val="tx1"/>
                  </w14:solidFill>
                </w14:textFill>
              </w:rPr>
              <w:br w:type="page"/>
            </w:r>
          </w:p>
          <w:p w14:paraId="4D512B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4、最大声压级：≥ 130dB。</w:t>
            </w:r>
          </w:p>
          <w:p w14:paraId="2F74A4E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5、灵敏度(1W/1m)：≥ 97dB。</w:t>
            </w:r>
          </w:p>
          <w:p w14:paraId="26F425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6、水平指向性：60°±10°，垂直指向性：60°±10°。</w:t>
            </w:r>
          </w:p>
        </w:tc>
      </w:tr>
      <w:tr w14:paraId="2FC925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02" w:type="pct"/>
            <w:shd w:val="clear" w:color="auto" w:fill="auto"/>
            <w:vAlign w:val="center"/>
          </w:tcPr>
          <w:p w14:paraId="1AA3CDB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808" w:type="pct"/>
            <w:shd w:val="clear" w:color="auto" w:fill="auto"/>
            <w:vAlign w:val="center"/>
          </w:tcPr>
          <w:p w14:paraId="46F3997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单10寸全频音箱</w:t>
            </w:r>
          </w:p>
        </w:tc>
        <w:tc>
          <w:tcPr>
            <w:tcW w:w="3790" w:type="pct"/>
            <w:shd w:val="clear" w:color="auto" w:fill="auto"/>
            <w:vAlign w:val="center"/>
          </w:tcPr>
          <w:p w14:paraId="432C53D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1、两分频全频扬声器，1只不小于1.3"高音单元，1只不小于10"低频单元。</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2、频率响应：优于60Hz-19kHz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3、额定功率：≥300W。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4、最大声压级：≥126dB。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5、灵敏度：≥96dB。(1W/1m)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6、水平指向性：80°±10°，垂直指向性：70°±10°。</w:t>
            </w:r>
          </w:p>
        </w:tc>
      </w:tr>
      <w:tr w14:paraId="19AF2A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65" w:hRule="atLeast"/>
        </w:trPr>
        <w:tc>
          <w:tcPr>
            <w:tcW w:w="402" w:type="pct"/>
            <w:shd w:val="clear" w:color="auto" w:fill="auto"/>
            <w:vAlign w:val="center"/>
          </w:tcPr>
          <w:p w14:paraId="70E00E2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808" w:type="pct"/>
            <w:shd w:val="clear" w:color="auto" w:fill="auto"/>
            <w:vAlign w:val="center"/>
          </w:tcPr>
          <w:p w14:paraId="0E0E14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单12寸全频音箱</w:t>
            </w:r>
          </w:p>
        </w:tc>
        <w:tc>
          <w:tcPr>
            <w:tcW w:w="3790" w:type="pct"/>
            <w:shd w:val="clear" w:color="auto" w:fill="auto"/>
            <w:vAlign w:val="center"/>
          </w:tcPr>
          <w:p w14:paraId="69BA7D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1、两分频全频扬声器，1只不小于44芯钛膜高音单元，1只不小于12"高功率低频单元。</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2、频率响应(±3dB)：优于50Hz-19kHz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3、额定功率(RMS)：≥400W。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4、最大声压级：≥127dB。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5、灵敏度(1W/1m)：≥ 95dB。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6、水平指向性：90°±10°，垂直指向性：60°±10°。</w:t>
            </w:r>
          </w:p>
        </w:tc>
      </w:tr>
      <w:tr w14:paraId="452EE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6" w:hRule="atLeast"/>
        </w:trPr>
        <w:tc>
          <w:tcPr>
            <w:tcW w:w="402" w:type="pct"/>
            <w:shd w:val="clear" w:color="auto" w:fill="auto"/>
            <w:vAlign w:val="center"/>
          </w:tcPr>
          <w:p w14:paraId="4D0259C4">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808" w:type="pct"/>
            <w:shd w:val="clear" w:color="auto" w:fill="auto"/>
            <w:vAlign w:val="center"/>
          </w:tcPr>
          <w:p w14:paraId="6AD1DBD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单12寸返听音箱</w:t>
            </w:r>
          </w:p>
        </w:tc>
        <w:tc>
          <w:tcPr>
            <w:tcW w:w="3790" w:type="pct"/>
            <w:shd w:val="clear" w:color="auto" w:fill="auto"/>
            <w:vAlign w:val="center"/>
          </w:tcPr>
          <w:p w14:paraId="21DE680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1、两分频全频扬声器，1只不小于3"钕铁硼高音单元，1只不小于12"钕铁硼低频单元。</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2、频率响应(±3dB)：优于55Hz-17kHz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3、额定功率（RMS）：≥400W。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4、最大声压级：≥130dB。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5、水平指向性：45°±5°，垂直指向性：45°±5°。</w:t>
            </w:r>
          </w:p>
        </w:tc>
      </w:tr>
      <w:tr w14:paraId="3D95B9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65" w:hRule="atLeast"/>
        </w:trPr>
        <w:tc>
          <w:tcPr>
            <w:tcW w:w="402" w:type="pct"/>
            <w:shd w:val="clear" w:color="auto" w:fill="auto"/>
            <w:vAlign w:val="center"/>
          </w:tcPr>
          <w:p w14:paraId="733307B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808" w:type="pct"/>
            <w:shd w:val="clear" w:color="auto" w:fill="auto"/>
            <w:vAlign w:val="center"/>
          </w:tcPr>
          <w:p w14:paraId="72CF4C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单12寸全频音箱</w:t>
            </w:r>
          </w:p>
        </w:tc>
        <w:tc>
          <w:tcPr>
            <w:tcW w:w="3790" w:type="pct"/>
            <w:shd w:val="clear" w:color="auto" w:fill="auto"/>
            <w:vAlign w:val="center"/>
          </w:tcPr>
          <w:p w14:paraId="1C66EC9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1、两分频全频扬声器，1只不小于44芯钛膜高音单元，1只不小于12"高功率低频单元。</w:t>
            </w:r>
          </w:p>
          <w:p w14:paraId="628747D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2、频率响应(±3dB)：优于50Hz-20kHz</w:t>
            </w:r>
            <w:r>
              <w:rPr>
                <w:rFonts w:hint="eastAsia" w:ascii="仿宋" w:hAnsi="仿宋" w:eastAsia="仿宋" w:cs="宋体"/>
                <w:color w:val="000000" w:themeColor="text1"/>
                <w:kern w:val="0"/>
                <w:sz w:val="20"/>
                <w:szCs w:val="20"/>
                <w14:textFill>
                  <w14:solidFill>
                    <w14:schemeClr w14:val="tx1"/>
                  </w14:solidFill>
                </w14:textFill>
              </w:rPr>
              <w:br w:type="page"/>
            </w:r>
          </w:p>
          <w:p w14:paraId="2B115A4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3、额定功率(RMS)：≥400W。</w:t>
            </w:r>
            <w:r>
              <w:rPr>
                <w:rFonts w:hint="eastAsia" w:ascii="仿宋" w:hAnsi="仿宋" w:eastAsia="仿宋" w:cs="宋体"/>
                <w:color w:val="000000" w:themeColor="text1"/>
                <w:kern w:val="0"/>
                <w:sz w:val="20"/>
                <w:szCs w:val="20"/>
                <w14:textFill>
                  <w14:solidFill>
                    <w14:schemeClr w14:val="tx1"/>
                  </w14:solidFill>
                </w14:textFill>
              </w:rPr>
              <w:br w:type="page"/>
            </w:r>
          </w:p>
          <w:p w14:paraId="3CA9F33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4、最大声压级：≥127dB。</w:t>
            </w:r>
            <w:r>
              <w:rPr>
                <w:rFonts w:hint="eastAsia" w:ascii="仿宋" w:hAnsi="仿宋" w:eastAsia="仿宋" w:cs="宋体"/>
                <w:color w:val="000000" w:themeColor="text1"/>
                <w:kern w:val="0"/>
                <w:sz w:val="20"/>
                <w:szCs w:val="20"/>
                <w14:textFill>
                  <w14:solidFill>
                    <w14:schemeClr w14:val="tx1"/>
                  </w14:solidFill>
                </w14:textFill>
              </w:rPr>
              <w:br w:type="page"/>
            </w:r>
          </w:p>
          <w:p w14:paraId="535B96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5、灵敏度(1W/1m)：≥ 95dB。</w:t>
            </w:r>
          </w:p>
          <w:p w14:paraId="2F4F996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6、水平指向性：90°±10°，垂直指向性：60°±10°。</w:t>
            </w:r>
          </w:p>
        </w:tc>
      </w:tr>
      <w:tr w14:paraId="48EE4F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60" w:hRule="atLeast"/>
        </w:trPr>
        <w:tc>
          <w:tcPr>
            <w:tcW w:w="402" w:type="pct"/>
            <w:shd w:val="clear" w:color="auto" w:fill="auto"/>
            <w:vAlign w:val="center"/>
          </w:tcPr>
          <w:p w14:paraId="7913B06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1.10.</w:t>
            </w:r>
          </w:p>
        </w:tc>
        <w:tc>
          <w:tcPr>
            <w:tcW w:w="808" w:type="pct"/>
            <w:shd w:val="clear" w:color="auto" w:fill="auto"/>
            <w:vAlign w:val="center"/>
          </w:tcPr>
          <w:p w14:paraId="357FB0C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双18寸超低频扬声器</w:t>
            </w:r>
          </w:p>
        </w:tc>
        <w:tc>
          <w:tcPr>
            <w:tcW w:w="3790" w:type="pct"/>
            <w:shd w:val="clear" w:color="auto" w:fill="auto"/>
            <w:vAlign w:val="center"/>
          </w:tcPr>
          <w:p w14:paraId="4B7613D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1、低频扬声器，2只不小于18"低频单元。</w:t>
            </w:r>
          </w:p>
          <w:p w14:paraId="5EB319B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2、频率响应(±3dB)：优于40Hz-200Hz </w:t>
            </w:r>
          </w:p>
          <w:p w14:paraId="01DA0B3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3、额定功率(RMS)：≥1200W。</w:t>
            </w:r>
          </w:p>
          <w:p w14:paraId="10E8F31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4、最大声压级：≥ 136dB。 </w:t>
            </w:r>
          </w:p>
          <w:p w14:paraId="256404E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5、灵敏度(1W/1m)：≥ 100dB。 </w:t>
            </w:r>
          </w:p>
        </w:tc>
      </w:tr>
      <w:tr w14:paraId="722EB9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75" w:hRule="atLeast"/>
        </w:trPr>
        <w:tc>
          <w:tcPr>
            <w:tcW w:w="402" w:type="pct"/>
            <w:shd w:val="clear" w:color="auto" w:fill="auto"/>
            <w:vAlign w:val="center"/>
          </w:tcPr>
          <w:p w14:paraId="23150B00">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1.11.</w:t>
            </w:r>
          </w:p>
        </w:tc>
        <w:tc>
          <w:tcPr>
            <w:tcW w:w="808" w:type="pct"/>
            <w:shd w:val="clear" w:color="auto" w:fill="auto"/>
            <w:vAlign w:val="center"/>
          </w:tcPr>
          <w:p w14:paraId="1113F96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四通道开关电源功放</w:t>
            </w:r>
          </w:p>
        </w:tc>
        <w:tc>
          <w:tcPr>
            <w:tcW w:w="3790" w:type="pct"/>
            <w:shd w:val="clear" w:color="auto" w:fill="auto"/>
            <w:vAlign w:val="center"/>
          </w:tcPr>
          <w:p w14:paraId="34128C7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产品类型：四通道开关电源功放；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8欧姆功率：4个通道，每通道不小于600w；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4欧姆功率：4x1000w;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总谐波失真：≤0.1%（1KHz/8欧）</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串音衰减：≥60dB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信噪比：≥100dB</w:t>
            </w:r>
          </w:p>
        </w:tc>
      </w:tr>
      <w:tr w14:paraId="1FDD2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0" w:hRule="atLeast"/>
        </w:trPr>
        <w:tc>
          <w:tcPr>
            <w:tcW w:w="402" w:type="pct"/>
            <w:shd w:val="clear" w:color="auto" w:fill="auto"/>
            <w:vAlign w:val="center"/>
          </w:tcPr>
          <w:p w14:paraId="63740AA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1.12.</w:t>
            </w:r>
          </w:p>
        </w:tc>
        <w:tc>
          <w:tcPr>
            <w:tcW w:w="808" w:type="pct"/>
            <w:shd w:val="clear" w:color="auto" w:fill="auto"/>
            <w:vAlign w:val="center"/>
          </w:tcPr>
          <w:p w14:paraId="687F7F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四通道开关电源功放</w:t>
            </w:r>
          </w:p>
        </w:tc>
        <w:tc>
          <w:tcPr>
            <w:tcW w:w="3790" w:type="pct"/>
            <w:shd w:val="clear" w:color="auto" w:fill="auto"/>
            <w:vAlign w:val="center"/>
          </w:tcPr>
          <w:p w14:paraId="27D61F0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产品类型：四通道开关电源功放；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8欧姆功率：4个通道，每通道不小于1300w；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4欧姆功率：4x2100w；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总谐波失真：≤0.1%（1KHz/8欧）</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串音衰减：≥60dB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信噪比：≥100dB</w:t>
            </w:r>
          </w:p>
        </w:tc>
      </w:tr>
      <w:tr w14:paraId="11A411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5" w:hRule="atLeast"/>
        </w:trPr>
        <w:tc>
          <w:tcPr>
            <w:tcW w:w="402" w:type="pct"/>
            <w:shd w:val="clear" w:color="auto" w:fill="auto"/>
            <w:vAlign w:val="center"/>
          </w:tcPr>
          <w:p w14:paraId="5441148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1.13.</w:t>
            </w:r>
          </w:p>
        </w:tc>
        <w:tc>
          <w:tcPr>
            <w:tcW w:w="808" w:type="pct"/>
            <w:shd w:val="clear" w:color="auto" w:fill="auto"/>
            <w:vAlign w:val="center"/>
          </w:tcPr>
          <w:p w14:paraId="13C0DDD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双通道超大功率功放</w:t>
            </w:r>
          </w:p>
        </w:tc>
        <w:tc>
          <w:tcPr>
            <w:tcW w:w="3790" w:type="pct"/>
            <w:shd w:val="clear" w:color="auto" w:fill="auto"/>
            <w:vAlign w:val="center"/>
          </w:tcPr>
          <w:p w14:paraId="7F829B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产品类型：双通道超大功率功放；</w:t>
            </w:r>
          </w:p>
          <w:p w14:paraId="14CF66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8欧姆功率：2个通道，每通道不小于1200w；</w:t>
            </w:r>
          </w:p>
          <w:p w14:paraId="26E68BE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4欧姆功率：2x1800w;</w:t>
            </w:r>
          </w:p>
          <w:p w14:paraId="65E447D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8欧姆桥接模式：3000w；</w:t>
            </w:r>
          </w:p>
          <w:p w14:paraId="5B58B14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4欧姆桥接模式：2500w.</w:t>
            </w:r>
          </w:p>
          <w:p w14:paraId="5023F4D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连接功能：</w:t>
            </w:r>
            <w:r>
              <w:rPr>
                <w:rFonts w:ascii="仿宋" w:hAnsi="仿宋" w:eastAsia="仿宋" w:cs="宋体"/>
                <w:color w:val="000000" w:themeColor="text1"/>
                <w:kern w:val="0"/>
                <w:sz w:val="20"/>
                <w:szCs w:val="20"/>
                <w14:textFill>
                  <w14:solidFill>
                    <w14:schemeClr w14:val="tx1"/>
                  </w14:solidFill>
                </w14:textFill>
              </w:rPr>
              <w:t>XLR平衡式输入/XLR 平衡式LINK输出；SPEAKON音响插座输出</w:t>
            </w:r>
            <w:r>
              <w:rPr>
                <w:rFonts w:hint="eastAsia" w:ascii="仿宋" w:hAnsi="仿宋" w:eastAsia="仿宋" w:cs="宋体"/>
                <w:color w:val="000000" w:themeColor="text1"/>
                <w:kern w:val="0"/>
                <w:sz w:val="20"/>
                <w:szCs w:val="20"/>
                <w14:textFill>
                  <w14:solidFill>
                    <w14:schemeClr w14:val="tx1"/>
                  </w14:solidFill>
                </w14:textFill>
              </w:rPr>
              <w:t>。</w:t>
            </w:r>
          </w:p>
          <w:p w14:paraId="3ACC490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模式选择：</w:t>
            </w:r>
            <w:bookmarkStart w:id="301" w:name="OLE_LINK1"/>
            <w:r>
              <w:rPr>
                <w:rFonts w:hint="eastAsia" w:ascii="仿宋" w:hAnsi="仿宋" w:eastAsia="仿宋" w:cs="宋体"/>
                <w:color w:val="000000" w:themeColor="text1"/>
                <w:kern w:val="0"/>
                <w:sz w:val="20"/>
                <w:szCs w:val="20"/>
                <w14:textFill>
                  <w14:solidFill>
                    <w14:schemeClr w14:val="tx1"/>
                  </w14:solidFill>
                </w14:textFill>
              </w:rPr>
              <w:t>多种灵敏度选择</w:t>
            </w:r>
            <w:bookmarkEnd w:id="301"/>
            <w:r>
              <w:rPr>
                <w:rFonts w:hint="eastAsia" w:ascii="仿宋" w:hAnsi="仿宋" w:eastAsia="仿宋" w:cs="宋体"/>
                <w:color w:val="000000" w:themeColor="text1"/>
                <w:kern w:val="0"/>
                <w:sz w:val="20"/>
                <w:szCs w:val="20"/>
                <w14:textFill>
                  <w14:solidFill>
                    <w14:schemeClr w14:val="tx1"/>
                  </w14:solidFill>
                </w14:textFill>
              </w:rPr>
              <w:t>；可接受三种阻抗电压选择；具备桥接，并接和立体声输出三种使用模式；</w:t>
            </w:r>
          </w:p>
        </w:tc>
      </w:tr>
      <w:tr w14:paraId="08A906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10" w:hRule="atLeast"/>
        </w:trPr>
        <w:tc>
          <w:tcPr>
            <w:tcW w:w="402" w:type="pct"/>
            <w:shd w:val="clear" w:color="auto" w:fill="auto"/>
            <w:vAlign w:val="center"/>
          </w:tcPr>
          <w:p w14:paraId="16CDC7D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1.14.</w:t>
            </w:r>
          </w:p>
        </w:tc>
        <w:tc>
          <w:tcPr>
            <w:tcW w:w="808" w:type="pct"/>
            <w:shd w:val="clear" w:color="auto" w:fill="auto"/>
            <w:vAlign w:val="center"/>
          </w:tcPr>
          <w:p w14:paraId="44B60F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双通道开关电源功放</w:t>
            </w:r>
          </w:p>
        </w:tc>
        <w:tc>
          <w:tcPr>
            <w:tcW w:w="3790" w:type="pct"/>
            <w:shd w:val="clear" w:color="auto" w:fill="auto"/>
            <w:vAlign w:val="center"/>
          </w:tcPr>
          <w:p w14:paraId="3FE74E5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产品类型：双通道开关电源功放；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8欧姆功率：每通道不小于650w；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4欧姆功率：2x1000w;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连接功能：</w:t>
            </w:r>
            <w:r>
              <w:rPr>
                <w:rFonts w:ascii="仿宋" w:hAnsi="仿宋" w:eastAsia="仿宋" w:cs="宋体"/>
                <w:color w:val="000000" w:themeColor="text1"/>
                <w:kern w:val="0"/>
                <w:sz w:val="20"/>
                <w:szCs w:val="20"/>
                <w14:textFill>
                  <w14:solidFill>
                    <w14:schemeClr w14:val="tx1"/>
                  </w14:solidFill>
                </w14:textFill>
              </w:rPr>
              <w:t>XLR平衡式输入/XLR 平衡式LINK输出；SPEAKON音响插座输出</w:t>
            </w:r>
            <w:r>
              <w:rPr>
                <w:rFonts w:hint="eastAsia"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模式选择：多种灵敏度选择；具备桥接，并接和立体声输出三种使用模式；总谐波失真：≤0.1%（1KHz/8欧）</w:t>
            </w:r>
          </w:p>
        </w:tc>
      </w:tr>
      <w:tr w14:paraId="58B1D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2" w:type="pct"/>
            <w:shd w:val="clear" w:color="auto" w:fill="auto"/>
            <w:vAlign w:val="center"/>
          </w:tcPr>
          <w:p w14:paraId="2F65BA80">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1.15.</w:t>
            </w:r>
          </w:p>
        </w:tc>
        <w:tc>
          <w:tcPr>
            <w:tcW w:w="808" w:type="pct"/>
            <w:shd w:val="clear" w:color="auto" w:fill="auto"/>
            <w:vAlign w:val="center"/>
          </w:tcPr>
          <w:p w14:paraId="196E198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双通道超大功率功放</w:t>
            </w:r>
          </w:p>
        </w:tc>
        <w:tc>
          <w:tcPr>
            <w:tcW w:w="3790" w:type="pct"/>
            <w:shd w:val="clear" w:color="auto" w:fill="auto"/>
            <w:vAlign w:val="center"/>
          </w:tcPr>
          <w:p w14:paraId="7C902AA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产品类型：双通道超大功率功放；</w:t>
            </w:r>
          </w:p>
          <w:p w14:paraId="6B3C0F7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8欧姆功率：2个通道，每通道不小于1500w；</w:t>
            </w:r>
          </w:p>
          <w:p w14:paraId="1A80FF6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模式选择：多种灵敏度选择；具备桥接，并接和立体声输出三种使用模式；</w:t>
            </w:r>
          </w:p>
          <w:p w14:paraId="38D1558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总谐波失真THD：≤0.1%（额定条件8欧 1KHz）</w:t>
            </w:r>
          </w:p>
          <w:p w14:paraId="6F89027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最小源电动势：1.4V</w:t>
            </w:r>
          </w:p>
          <w:p w14:paraId="7E6E9BD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串音衰减：≥60dB</w:t>
            </w:r>
          </w:p>
        </w:tc>
      </w:tr>
      <w:tr w14:paraId="61965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0" w:hRule="atLeast"/>
        </w:trPr>
        <w:tc>
          <w:tcPr>
            <w:tcW w:w="402" w:type="pct"/>
            <w:shd w:val="clear" w:color="auto" w:fill="auto"/>
            <w:vAlign w:val="center"/>
          </w:tcPr>
          <w:p w14:paraId="254C3A6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1.16.</w:t>
            </w:r>
          </w:p>
        </w:tc>
        <w:tc>
          <w:tcPr>
            <w:tcW w:w="808" w:type="pct"/>
            <w:shd w:val="clear" w:color="auto" w:fill="auto"/>
            <w:vAlign w:val="center"/>
          </w:tcPr>
          <w:p w14:paraId="10E0ED9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16x16DANTE分布式动态数字音频处理器</w:t>
            </w:r>
          </w:p>
        </w:tc>
        <w:tc>
          <w:tcPr>
            <w:tcW w:w="3790" w:type="pct"/>
            <w:shd w:val="clear" w:color="auto" w:fill="auto"/>
            <w:vAlign w:val="center"/>
          </w:tcPr>
          <w:p w14:paraId="09C1E03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 DANTE分布式动态数字音频处理器</w:t>
            </w:r>
          </w:p>
          <w:p w14:paraId="00B7186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拥有≥32通道输入（16通道模拟+16通道Dante数字音频），≥32通道输出（16通道模拟+16通道Dante数字音频）。DSP的输入输出模块可根据现场情况自定义选择，同时拥有独立的AFC、AEC、ANS、AGC、增益共享自动混音AMC、门限自动混音、DUCKER（闪避器）等处理模块。</w:t>
            </w:r>
          </w:p>
          <w:p w14:paraId="17F4CCC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采用业界领先ADI芯片，最高工作频率可达≥450MHz； </w:t>
            </w:r>
          </w:p>
          <w:p w14:paraId="127141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≥16通道的Dante冗余，16通道模拟输入、16通道模拟输出；</w:t>
            </w:r>
          </w:p>
          <w:p w14:paraId="45F9910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除模拟音频输入输出凤凰插接口外，接口类型及数量不少于：RS232*1、RS485*1、RJ45*3，GPIO*8、USB*1； </w:t>
            </w:r>
          </w:p>
          <w:p w14:paraId="4DFA352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总谐波失真：≤0.1%（额定条件0dB 1KHz）；</w:t>
            </w:r>
          </w:p>
          <w:p w14:paraId="3E774CB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信噪比：≥100dB(额定条件1KHz 0.5%)。 </w:t>
            </w:r>
          </w:p>
        </w:tc>
      </w:tr>
      <w:tr w14:paraId="35EDED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20" w:hRule="atLeast"/>
        </w:trPr>
        <w:tc>
          <w:tcPr>
            <w:tcW w:w="402" w:type="pct"/>
            <w:shd w:val="clear" w:color="auto" w:fill="auto"/>
            <w:vAlign w:val="center"/>
          </w:tcPr>
          <w:p w14:paraId="1B7864C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1.17.</w:t>
            </w:r>
          </w:p>
        </w:tc>
        <w:tc>
          <w:tcPr>
            <w:tcW w:w="808" w:type="pct"/>
            <w:shd w:val="clear" w:color="auto" w:fill="auto"/>
            <w:vAlign w:val="center"/>
          </w:tcPr>
          <w:p w14:paraId="1FC7972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4x8 FIR数字扬声器处理器</w:t>
            </w:r>
          </w:p>
        </w:tc>
        <w:tc>
          <w:tcPr>
            <w:tcW w:w="3790" w:type="pct"/>
            <w:shd w:val="clear" w:color="auto" w:fill="auto"/>
            <w:vAlign w:val="center"/>
          </w:tcPr>
          <w:p w14:paraId="465905C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产品类别：四进八出FIR数字扬声器处理器</w:t>
            </w:r>
          </w:p>
          <w:p w14:paraId="05CC3EC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设备功能：</w:t>
            </w:r>
          </w:p>
          <w:p w14:paraId="271ECCA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1、功能特点:</w:t>
            </w:r>
          </w:p>
          <w:p w14:paraId="421BD21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4路模拟音频输入8路模拟音频输出；</w:t>
            </w:r>
          </w:p>
          <w:p w14:paraId="084E5CD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输入15段PEQ，输出10段PEQ，高低通滤波器</w:t>
            </w:r>
          </w:p>
          <w:p w14:paraId="14DED9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标配DEQ动态均衡</w:t>
            </w:r>
          </w:p>
          <w:p w14:paraId="76F1E3C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支持动态均衡器</w:t>
            </w:r>
          </w:p>
          <w:p w14:paraId="616B66B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USB免驱自动连接软件，支持RS485中控控制，支持TCPIP有线控制</w:t>
            </w:r>
          </w:p>
          <w:p w14:paraId="2C9AE5C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支持多台机器组网联调，远程监控</w:t>
            </w:r>
          </w:p>
          <w:p w14:paraId="406B4D7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2、技术参数：</w:t>
            </w:r>
          </w:p>
          <w:p w14:paraId="32193C6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最大输出电平: 20dBu</w:t>
            </w:r>
          </w:p>
          <w:p w14:paraId="794ABD4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最大输入电平: 20dBu</w:t>
            </w:r>
          </w:p>
          <w:p w14:paraId="704B897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频响曲线: 20Hz-20kHz(±0.5dB)</w:t>
            </w:r>
          </w:p>
          <w:p w14:paraId="2816CA1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信噪比(A计权): ≥ 112dB</w:t>
            </w:r>
          </w:p>
          <w:p w14:paraId="67B2C04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总谐波失真：≤0.01%</w:t>
            </w:r>
          </w:p>
        </w:tc>
      </w:tr>
      <w:tr w14:paraId="4A9E4E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6" w:hRule="atLeast"/>
        </w:trPr>
        <w:tc>
          <w:tcPr>
            <w:tcW w:w="402" w:type="pct"/>
            <w:shd w:val="clear" w:color="auto" w:fill="auto"/>
            <w:vAlign w:val="center"/>
          </w:tcPr>
          <w:p w14:paraId="68DAB60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1.18.</w:t>
            </w:r>
          </w:p>
        </w:tc>
        <w:tc>
          <w:tcPr>
            <w:tcW w:w="808" w:type="pct"/>
            <w:shd w:val="clear" w:color="auto" w:fill="auto"/>
            <w:vAlign w:val="center"/>
          </w:tcPr>
          <w:p w14:paraId="633A7C8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30路数字调音台</w:t>
            </w:r>
          </w:p>
        </w:tc>
        <w:tc>
          <w:tcPr>
            <w:tcW w:w="3790" w:type="pct"/>
            <w:shd w:val="clear" w:color="auto" w:fill="auto"/>
            <w:vAlign w:val="center"/>
          </w:tcPr>
          <w:p w14:paraId="0FE07E8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系统特点：</w:t>
            </w:r>
          </w:p>
          <w:p w14:paraId="20A74F8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操作界面与接口箱分离</w:t>
            </w:r>
          </w:p>
          <w:p w14:paraId="0DA0100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不小于10寸高清触控显示</w:t>
            </w:r>
          </w:p>
          <w:p w14:paraId="7DC5DF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支持不少于64路信号输入，36路输出信号处理能力</w:t>
            </w:r>
          </w:p>
          <w:p w14:paraId="389772C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本地不少于24路MIC&amp;LINE模拟信号输入，不少于4路数字信号输入</w:t>
            </w:r>
          </w:p>
          <w:p w14:paraId="562CA93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本地不少于16路模拟LINE信号输出</w:t>
            </w:r>
          </w:p>
          <w:p w14:paraId="0C62526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本地带AES输入输出，同时支持Dante:可选配Dante版卡，实现Dante信号的输入输出，支持多轨录音</w:t>
            </w:r>
          </w:p>
          <w:p w14:paraId="73D12B4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支持双机同步数据备份</w:t>
            </w:r>
          </w:p>
          <w:p w14:paraId="0B6D3C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总谐波失真：≤0.01%</w:t>
            </w:r>
          </w:p>
          <w:p w14:paraId="00441C1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信噪比：≥106dB</w:t>
            </w:r>
          </w:p>
        </w:tc>
      </w:tr>
      <w:tr w14:paraId="40C0B8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51" w:hRule="atLeast"/>
        </w:trPr>
        <w:tc>
          <w:tcPr>
            <w:tcW w:w="402" w:type="pct"/>
            <w:shd w:val="clear" w:color="auto" w:fill="auto"/>
            <w:vAlign w:val="center"/>
          </w:tcPr>
          <w:p w14:paraId="1CEAB5F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1.19.</w:t>
            </w:r>
          </w:p>
        </w:tc>
        <w:tc>
          <w:tcPr>
            <w:tcW w:w="808" w:type="pct"/>
            <w:shd w:val="clear" w:color="auto" w:fill="auto"/>
            <w:vAlign w:val="center"/>
          </w:tcPr>
          <w:p w14:paraId="706122A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音控室监听音箱</w:t>
            </w:r>
          </w:p>
        </w:tc>
        <w:tc>
          <w:tcPr>
            <w:tcW w:w="3790" w:type="pct"/>
            <w:shd w:val="clear" w:color="auto" w:fill="auto"/>
            <w:vAlign w:val="center"/>
          </w:tcPr>
          <w:p w14:paraId="5CBFADD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内置HIFI高保真高档扬声器，内置电子分频器，高低音独立功放驱动</w:t>
            </w:r>
            <w:r>
              <w:rPr>
                <w:rFonts w:hint="eastAsia" w:ascii="仿宋" w:hAnsi="仿宋" w:eastAsia="仿宋" w:cs="宋体"/>
                <w:color w:val="000000" w:themeColor="text1"/>
                <w:kern w:val="0"/>
                <w:sz w:val="20"/>
                <w:szCs w:val="20"/>
                <w14:textFill>
                  <w14:solidFill>
                    <w14:schemeClr w14:val="tx1"/>
                  </w14:solidFill>
                </w14:textFill>
              </w:rPr>
              <w:t>。</w:t>
            </w:r>
          </w:p>
          <w:p w14:paraId="44E86B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频率范围：55Hz-20kHz</w:t>
            </w:r>
          </w:p>
          <w:p w14:paraId="0DCE052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额定功率：≥2*25w    </w:t>
            </w:r>
          </w:p>
          <w:p w14:paraId="4A4882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灵敏度（1w/1m）：90dB</w:t>
            </w:r>
          </w:p>
          <w:p w14:paraId="4A142B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标称阻抗：8Ω</w:t>
            </w:r>
          </w:p>
          <w:p w14:paraId="46B6FB8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模拟接口：1个XLR，1组RCA    </w:t>
            </w:r>
          </w:p>
        </w:tc>
      </w:tr>
      <w:tr w14:paraId="7896FC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727DC28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1.20.</w:t>
            </w:r>
          </w:p>
        </w:tc>
        <w:tc>
          <w:tcPr>
            <w:tcW w:w="808" w:type="pct"/>
            <w:shd w:val="clear" w:color="auto" w:fill="auto"/>
            <w:vAlign w:val="center"/>
          </w:tcPr>
          <w:p w14:paraId="2AFB731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专业声卡</w:t>
            </w:r>
          </w:p>
        </w:tc>
        <w:tc>
          <w:tcPr>
            <w:tcW w:w="3790" w:type="pct"/>
            <w:shd w:val="clear" w:color="auto" w:fill="auto"/>
          </w:tcPr>
          <w:p w14:paraId="27FB5E7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2进/2出的USB音频接口</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精密调控旋钮</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低噪音话简前置话放：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高清指示灯显示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震撼、细腻的声音有着丰富的细节</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坚固金属外壳，小巧便携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吉他和其他乐器高阻抗源的Hi-Z输入</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24-bit/192kHz采样率能为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广泛屏蔽的低噪音设计，高保真音质</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录音清晰和高精密度</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高性能转换器，支持录音、</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支持Type-C接口与PC/IOS兼容</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混音和播放音频</w:t>
            </w:r>
          </w:p>
        </w:tc>
      </w:tr>
      <w:tr w14:paraId="67D47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0" w:hRule="atLeast"/>
        </w:trPr>
        <w:tc>
          <w:tcPr>
            <w:tcW w:w="402" w:type="pct"/>
            <w:shd w:val="clear" w:color="auto" w:fill="auto"/>
            <w:vAlign w:val="center"/>
          </w:tcPr>
          <w:p w14:paraId="6EED7DE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1.21.</w:t>
            </w:r>
          </w:p>
        </w:tc>
        <w:tc>
          <w:tcPr>
            <w:tcW w:w="808" w:type="pct"/>
            <w:shd w:val="clear" w:color="auto" w:fill="auto"/>
            <w:vAlign w:val="center"/>
          </w:tcPr>
          <w:p w14:paraId="125B33B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无线会议系统主机</w:t>
            </w:r>
          </w:p>
        </w:tc>
        <w:tc>
          <w:tcPr>
            <w:tcW w:w="3790" w:type="pct"/>
            <w:shd w:val="clear" w:color="auto" w:fill="auto"/>
            <w:vAlign w:val="center"/>
          </w:tcPr>
          <w:p w14:paraId="68D071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主控机与会议系统单元的数字控制及声音信号采用同一电缆传送（六芯）也可无线接收，可独立运作或外接电脑结合软件同步联动操作，脱离电脑时可具有下列几个功能：会议讨论、表决/选举/评议，系统具有高品质声音效果， 具三种会务管理模式：开放模式（FREE）、先进先出（FIFO）、限制发言（LIMIT）， 可直接选择显示文字种类功中文简体/英文，</w:t>
            </w:r>
            <w:r>
              <w:rPr>
                <w:rFonts w:ascii="仿宋" w:hAnsi="仿宋" w:eastAsia="仿宋" w:cs="宋体"/>
                <w:color w:val="000000" w:themeColor="text1"/>
                <w:kern w:val="0"/>
                <w:sz w:val="20"/>
                <w:szCs w:val="20"/>
                <w14:textFill>
                  <w14:solidFill>
                    <w14:schemeClr w14:val="tx1"/>
                  </w14:solidFill>
                </w14:textFill>
              </w:rPr>
              <w:t>支持自定义会议话筒身份功能，可根据现场需要定义为主席单元或代表单元或“VIP”单元</w:t>
            </w:r>
            <w:r>
              <w:rPr>
                <w:rFonts w:hint="eastAsia" w:ascii="仿宋" w:hAnsi="仿宋" w:eastAsia="仿宋" w:cs="宋体"/>
                <w:color w:val="000000" w:themeColor="text1"/>
                <w:kern w:val="0"/>
                <w:sz w:val="20"/>
                <w:szCs w:val="20"/>
                <w14:textFill>
                  <w14:solidFill>
                    <w14:schemeClr w14:val="tx1"/>
                  </w14:solidFill>
                </w14:textFill>
              </w:rPr>
              <w:t>，一主机具四组主端子可连接50套会议单元。增加扩展设备可实现250台会议单元同时使用， 具一组音频讯号输入端子。可外接CD播放器等音源输入设备，具3组音频信号输出端子，可外接录音或音响设备，频率响应：100Hz—18KHz：总谐波失真：在100Hz—18KHz会议系统声音输出小于0.1%，</w:t>
            </w:r>
          </w:p>
          <w:p w14:paraId="1AE73B7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具有RS232连接插座可外接电脑，与电脑连接使用时，可以通过电脑管理软件实现脱离电脑时的所有功能外，增加了指定发言、申请发言、主席专有、设定发言时间等功能，可安装于19寸的标准机柜中</w:t>
            </w:r>
          </w:p>
        </w:tc>
      </w:tr>
      <w:tr w14:paraId="74176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30" w:hRule="atLeast"/>
        </w:trPr>
        <w:tc>
          <w:tcPr>
            <w:tcW w:w="402" w:type="pct"/>
            <w:shd w:val="clear" w:color="auto" w:fill="auto"/>
            <w:vAlign w:val="center"/>
          </w:tcPr>
          <w:p w14:paraId="32A77C8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1.22.</w:t>
            </w:r>
          </w:p>
        </w:tc>
        <w:tc>
          <w:tcPr>
            <w:tcW w:w="808" w:type="pct"/>
            <w:shd w:val="clear" w:color="auto" w:fill="auto"/>
            <w:vAlign w:val="center"/>
          </w:tcPr>
          <w:p w14:paraId="63FD56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无线主席发言单元</w:t>
            </w:r>
          </w:p>
        </w:tc>
        <w:tc>
          <w:tcPr>
            <w:tcW w:w="3790" w:type="pct"/>
            <w:shd w:val="clear" w:color="auto" w:fill="auto"/>
            <w:vAlign w:val="center"/>
          </w:tcPr>
          <w:p w14:paraId="467AEA5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4158C89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3B953BC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2EFCAE8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19BD33F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608D3DD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1DBDA6A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746C157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5A10A35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7F3A162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10、认证换能方式：电容式</w:t>
            </w:r>
          </w:p>
        </w:tc>
      </w:tr>
      <w:tr w14:paraId="055F6A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3" w:hRule="atLeast"/>
        </w:trPr>
        <w:tc>
          <w:tcPr>
            <w:tcW w:w="402" w:type="pct"/>
            <w:shd w:val="clear" w:color="auto" w:fill="auto"/>
            <w:vAlign w:val="center"/>
          </w:tcPr>
          <w:p w14:paraId="11A8D4B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1.23.</w:t>
            </w:r>
          </w:p>
        </w:tc>
        <w:tc>
          <w:tcPr>
            <w:tcW w:w="808" w:type="pct"/>
            <w:shd w:val="clear" w:color="auto" w:fill="auto"/>
            <w:vAlign w:val="center"/>
          </w:tcPr>
          <w:p w14:paraId="5188A7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无线代表发言单元</w:t>
            </w:r>
          </w:p>
        </w:tc>
        <w:tc>
          <w:tcPr>
            <w:tcW w:w="3790" w:type="pct"/>
            <w:shd w:val="clear" w:color="auto" w:fill="auto"/>
            <w:vAlign w:val="center"/>
          </w:tcPr>
          <w:p w14:paraId="4E96F71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562A218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531F2D4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63A6E57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64C93A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33B36E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368DC17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53D18F7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2B46F04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6EFC9B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10、认证换能方式：电容式 </w:t>
            </w:r>
          </w:p>
        </w:tc>
      </w:tr>
      <w:tr w14:paraId="1C137D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5" w:hRule="atLeast"/>
        </w:trPr>
        <w:tc>
          <w:tcPr>
            <w:tcW w:w="402" w:type="pct"/>
            <w:shd w:val="clear" w:color="auto" w:fill="auto"/>
            <w:vAlign w:val="center"/>
          </w:tcPr>
          <w:p w14:paraId="2553CA6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1.24.</w:t>
            </w:r>
          </w:p>
        </w:tc>
        <w:tc>
          <w:tcPr>
            <w:tcW w:w="808" w:type="pct"/>
            <w:shd w:val="clear" w:color="auto" w:fill="auto"/>
            <w:vAlign w:val="center"/>
          </w:tcPr>
          <w:p w14:paraId="3FB436B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无线话筒手持</w:t>
            </w:r>
          </w:p>
        </w:tc>
        <w:tc>
          <w:tcPr>
            <w:tcW w:w="3790" w:type="pct"/>
            <w:shd w:val="clear" w:color="auto" w:fill="auto"/>
            <w:vAlign w:val="center"/>
          </w:tcPr>
          <w:p w14:paraId="61D15D0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接收机参数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无线接收机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载波频段：UHF </w:t>
            </w:r>
            <w:r>
              <w:rPr>
                <w:rFonts w:ascii="仿宋" w:hAnsi="仿宋" w:eastAsia="仿宋" w:cs="宋体"/>
                <w:color w:val="000000" w:themeColor="text1"/>
                <w:kern w:val="0"/>
                <w:sz w:val="20"/>
                <w:szCs w:val="20"/>
                <w14:textFill>
                  <w14:solidFill>
                    <w14:schemeClr w14:val="tx1"/>
                  </w14:solidFill>
                </w14:textFill>
              </w:rPr>
              <w:t>470MHz-510MHz、540MHz-590MHz、640MHz-690MHz、807MHz-830MHz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调制方式：宽带FM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通道数：双通道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灵敏度：在偏移度等于25kHz，输入6dBv时，S/N&gt;60dB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频带宽度：30MHz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最大偏移度：±45kHZ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音频频率响应：45Hz～18kHz(±3dB)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综合信噪比：&gt;105dB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综合失真：&lt;0.7％@1KHz。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工作距离：&lt;300米(在理想环境的情况下)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工作环境温度：-10~50</w:t>
            </w:r>
          </w:p>
        </w:tc>
      </w:tr>
      <w:tr w14:paraId="50CFE8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5" w:hRule="atLeast"/>
        </w:trPr>
        <w:tc>
          <w:tcPr>
            <w:tcW w:w="402" w:type="pct"/>
            <w:shd w:val="clear" w:color="auto" w:fill="auto"/>
            <w:vAlign w:val="center"/>
          </w:tcPr>
          <w:p w14:paraId="77D501A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1.25.</w:t>
            </w:r>
          </w:p>
        </w:tc>
        <w:tc>
          <w:tcPr>
            <w:tcW w:w="808" w:type="pct"/>
            <w:shd w:val="clear" w:color="auto" w:fill="auto"/>
            <w:vAlign w:val="center"/>
          </w:tcPr>
          <w:p w14:paraId="628466A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无线话筒头戴</w:t>
            </w:r>
          </w:p>
        </w:tc>
        <w:tc>
          <w:tcPr>
            <w:tcW w:w="3790" w:type="pct"/>
            <w:shd w:val="clear" w:color="auto" w:fill="auto"/>
            <w:vAlign w:val="center"/>
          </w:tcPr>
          <w:p w14:paraId="55FBC62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手持发射器</w:t>
            </w:r>
          </w:p>
          <w:p w14:paraId="148997F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载波频段：UHF </w:t>
            </w:r>
            <w:r>
              <w:rPr>
                <w:rFonts w:ascii="仿宋" w:hAnsi="仿宋" w:eastAsia="仿宋" w:cs="宋体"/>
                <w:color w:val="000000" w:themeColor="text1"/>
                <w:kern w:val="0"/>
                <w:sz w:val="20"/>
                <w:szCs w:val="20"/>
                <w14:textFill>
                  <w14:solidFill>
                    <w14:schemeClr w14:val="tx1"/>
                  </w14:solidFill>
                </w14:textFill>
              </w:rPr>
              <w:t>470MHz-510MHz、540MHz-590MHz、640MHz-690MHz、807MHz-830MHz</w:t>
            </w:r>
          </w:p>
          <w:p w14:paraId="3E564F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p>
          <w:p w14:paraId="0220A9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谐波幅射：&lt;65dBm </w:t>
            </w:r>
          </w:p>
          <w:p w14:paraId="1F8F3FD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最大偏移度：±45kHz</w:t>
            </w:r>
          </w:p>
          <w:p w14:paraId="03FFCB3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频率响应；45Hz～18kHz(±3dB) </w:t>
            </w:r>
          </w:p>
          <w:p w14:paraId="5811E38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RF功率输出：10MW </w:t>
            </w:r>
          </w:p>
          <w:p w14:paraId="0DFCBB5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拾音头：动圈式 </w:t>
            </w:r>
          </w:p>
          <w:p w14:paraId="4BF9340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电池：AA×2 </w:t>
            </w:r>
          </w:p>
          <w:p w14:paraId="7CCF5C3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电流消耗：≤100mA </w:t>
            </w:r>
          </w:p>
          <w:p w14:paraId="2F3F417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连续工作时间：&gt;8小时</w:t>
            </w:r>
          </w:p>
        </w:tc>
      </w:tr>
      <w:tr w14:paraId="25831E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1" w:hRule="atLeast"/>
        </w:trPr>
        <w:tc>
          <w:tcPr>
            <w:tcW w:w="402" w:type="pct"/>
            <w:shd w:val="clear" w:color="auto" w:fill="auto"/>
            <w:vAlign w:val="center"/>
          </w:tcPr>
          <w:p w14:paraId="7B7A3EE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1.26.</w:t>
            </w:r>
          </w:p>
        </w:tc>
        <w:tc>
          <w:tcPr>
            <w:tcW w:w="808" w:type="pct"/>
            <w:shd w:val="clear" w:color="auto" w:fill="auto"/>
            <w:vAlign w:val="center"/>
          </w:tcPr>
          <w:p w14:paraId="4733729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扇指向阵列话筒</w:t>
            </w:r>
          </w:p>
        </w:tc>
        <w:tc>
          <w:tcPr>
            <w:tcW w:w="3790" w:type="pct"/>
            <w:shd w:val="clear" w:color="auto" w:fill="auto"/>
            <w:vAlign w:val="center"/>
          </w:tcPr>
          <w:p w14:paraId="64FCA9B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过对所有传声器信号的综合处理,传声器阵列可以组合成为所要求的强指向性传声器,形成被称为"波束"的指向特性。传声器阵列的波束可以经由特殊电路或程序算法软件控制使其指向声源方向而加强音频采集效果，声音清晰、通透、饱满，特别适合舞台合唱拾音使用，同时满足舞台话剧、教学观摩使用综合需求。</w:t>
            </w:r>
          </w:p>
          <w:p w14:paraId="5058AB8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特点：</w:t>
            </w:r>
          </w:p>
          <w:p w14:paraId="52D84D0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（1）精选23颗单指向音头，远比单颗音头的枪式传声器效率高，性能卓越。</w:t>
            </w:r>
          </w:p>
          <w:p w14:paraId="55E12CA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（2）远距离拾音（5-8米）能力，保持音量一致，用于吊装，听感真实舒适自然。 </w:t>
            </w:r>
          </w:p>
          <w:p w14:paraId="61379F7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（3）传声器额定自由场灵敏度（级）≧-11.1，并提供有CNAS和CMA的检测报告。能接收到舞台更纯净教学信号，改善音质，显著提高语言清晰度。</w:t>
            </w:r>
          </w:p>
          <w:p w14:paraId="650A831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（4）指向性强，对于在建声条件不良的舞台内使用，更有利于提高话语信噪比。</w:t>
            </w:r>
          </w:p>
          <w:p w14:paraId="3FBF00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（5）扇形指向性，能在较宽范围内拾取到舞台发言者信号，提升工作效力与服务质量。</w:t>
            </w:r>
          </w:p>
          <w:p w14:paraId="49722B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（6）具备0度、90度、135度、180度传声器测试曲线；</w:t>
            </w:r>
          </w:p>
          <w:p w14:paraId="6C01CA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（7）4芯线缆连接，专用5V供电</w:t>
            </w:r>
          </w:p>
          <w:p w14:paraId="5346013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p>
          <w:p w14:paraId="7AD60D6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具体参数：</w:t>
            </w:r>
          </w:p>
          <w:p w14:paraId="5AF00A6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1、超强扇形指向麦克风，水平135°*垂直78° </w:t>
            </w:r>
          </w:p>
          <w:p w14:paraId="73C287C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2、频率响应 20Hz—20KHz</w:t>
            </w:r>
          </w:p>
          <w:p w14:paraId="26DF5F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3、灵敏度 ≥-11.1dB</w:t>
            </w:r>
          </w:p>
          <w:p w14:paraId="3D7A68D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4、信噪比 ≥65dB</w:t>
            </w:r>
          </w:p>
          <w:p w14:paraId="7639F37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5、动态范围 95dB</w:t>
            </w:r>
          </w:p>
          <w:p w14:paraId="199EE8D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6、总谐波失真 ≤0.05%</w:t>
            </w:r>
          </w:p>
          <w:p w14:paraId="105CABD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7、指向性 扇形指向性</w:t>
            </w:r>
          </w:p>
          <w:p w14:paraId="17EA69A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8、外形尺寸 300*35mm</w:t>
            </w:r>
          </w:p>
          <w:p w14:paraId="3D7D13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9、外壳结构 金属铸铝</w:t>
            </w:r>
          </w:p>
          <w:p w14:paraId="4300647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10、安装支架 软管连接(不漏线)</w:t>
            </w:r>
          </w:p>
          <w:p w14:paraId="2B5EC03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11、工作电源 DC5V／50mA</w:t>
            </w:r>
          </w:p>
        </w:tc>
      </w:tr>
      <w:tr w14:paraId="227CAE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02" w:type="pct"/>
            <w:shd w:val="clear" w:color="auto" w:fill="auto"/>
            <w:vAlign w:val="center"/>
          </w:tcPr>
          <w:p w14:paraId="16EDC7F3">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1.27.</w:t>
            </w:r>
          </w:p>
        </w:tc>
        <w:tc>
          <w:tcPr>
            <w:tcW w:w="808" w:type="pct"/>
            <w:shd w:val="clear" w:color="auto" w:fill="auto"/>
            <w:noWrap/>
            <w:vAlign w:val="center"/>
          </w:tcPr>
          <w:p w14:paraId="393FC04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5V专用电源</w:t>
            </w:r>
          </w:p>
        </w:tc>
        <w:tc>
          <w:tcPr>
            <w:tcW w:w="3790" w:type="pct"/>
            <w:shd w:val="clear" w:color="auto" w:fill="auto"/>
            <w:vAlign w:val="center"/>
          </w:tcPr>
          <w:p w14:paraId="7BE256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5V专用话筒电源，卡农话筒输入、卡农线路输出，具有放大信号、稳压、抗干扰等功能。</w:t>
            </w:r>
          </w:p>
        </w:tc>
      </w:tr>
      <w:tr w14:paraId="26C7D7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17D9865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1.28.</w:t>
            </w:r>
          </w:p>
        </w:tc>
        <w:tc>
          <w:tcPr>
            <w:tcW w:w="808" w:type="pct"/>
            <w:shd w:val="clear" w:color="auto" w:fill="auto"/>
            <w:noWrap/>
            <w:vAlign w:val="center"/>
          </w:tcPr>
          <w:p w14:paraId="138B5EC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话筒安装支架</w:t>
            </w:r>
          </w:p>
        </w:tc>
        <w:tc>
          <w:tcPr>
            <w:tcW w:w="3790" w:type="pct"/>
            <w:shd w:val="clear" w:color="auto" w:fill="auto"/>
            <w:noWrap/>
            <w:vAlign w:val="center"/>
          </w:tcPr>
          <w:p w14:paraId="28C1A4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可根据定装高度选用不同长度产品</w:t>
            </w:r>
          </w:p>
        </w:tc>
      </w:tr>
      <w:tr w14:paraId="40DBC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402" w:type="pct"/>
            <w:shd w:val="clear" w:color="auto" w:fill="auto"/>
            <w:vAlign w:val="center"/>
          </w:tcPr>
          <w:p w14:paraId="40AE53B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1.29.</w:t>
            </w:r>
          </w:p>
        </w:tc>
        <w:tc>
          <w:tcPr>
            <w:tcW w:w="808" w:type="pct"/>
            <w:shd w:val="clear" w:color="auto" w:fill="auto"/>
            <w:vAlign w:val="center"/>
          </w:tcPr>
          <w:p w14:paraId="3CF9638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自适应数字音频管理中心</w:t>
            </w:r>
          </w:p>
        </w:tc>
        <w:tc>
          <w:tcPr>
            <w:tcW w:w="3790" w:type="pct"/>
            <w:shd w:val="clear" w:color="auto" w:fill="auto"/>
            <w:vAlign w:val="center"/>
          </w:tcPr>
          <w:p w14:paraId="0E91904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数字音频管理中心是专门为舞台、会议以及教学系统量身定制的专业扩声设备。将先进数字处理技术融于KMG分量矩阵模块、防啸处理模块、消噪处理模块之中，使应用更专业、灵活、多变。应用中根据现场情况对DSP内存参数进行重新预制，创新出具有个性化的方案设计，快捷达到：听得见、听得清、听得好、听得舒适的非凡效果。</w:t>
            </w:r>
          </w:p>
          <w:p w14:paraId="01F7548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1、整机提供音频8路输入／8路输出，支持凤凰插座(内置一路自适应数字防啸叫模块)；</w:t>
            </w:r>
          </w:p>
          <w:p w14:paraId="6FD6106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2、传声器输入提供设幻像供电DC48V，具有优先级选择功能；</w:t>
            </w:r>
          </w:p>
          <w:p w14:paraId="7E31F09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3、具有AMC自动混音功能，控制多只传声器在线输出，获得最大传声增益；</w:t>
            </w:r>
          </w:p>
          <w:p w14:paraId="56E7724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4、具有AAC声控智能自动切换功能，传声器输出平滑、不丢字；</w:t>
            </w:r>
          </w:p>
          <w:p w14:paraId="4D5B900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5、采用AGC自动增益算法，保持阵列指向性传声器12米范围内灵敏度差＜3dB；</w:t>
            </w:r>
          </w:p>
          <w:p w14:paraId="1752770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6、采用ANS自动环境降噪技术，有效降低环境各类噪声（－20dB）,提高信号纯净度；</w:t>
            </w:r>
          </w:p>
          <w:p w14:paraId="5D904C2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7、采用AFC数字反馈抑制算法，实现系统提前起控不让啸叫，提升系统增益15dB；</w:t>
            </w:r>
          </w:p>
          <w:p w14:paraId="51BA8E6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8、采用AEC回声抑制算法，消除系统互联互通远程回声，实现本地／远程同时扩声无干扰；</w:t>
            </w:r>
          </w:p>
          <w:p w14:paraId="3531CFB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9、整机KMG分量矩阵功能卓越，输入／输出信号两次精准调试，创造非凡会场效果；</w:t>
            </w:r>
          </w:p>
          <w:p w14:paraId="09B664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10、每路输出可设置不同分量音频信号，满足录制、远程传输个性化高质量需要；</w:t>
            </w:r>
          </w:p>
          <w:p w14:paraId="70EB81C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11、设有R485接口，可实现本地／远程智能控制，调取多种工作模式；</w:t>
            </w:r>
          </w:p>
          <w:p w14:paraId="0B63557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12、当接入紧急广播信号具最优先级，实现消防强切，确保突发事件安全；</w:t>
            </w:r>
          </w:p>
          <w:p w14:paraId="3B7DD86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13、具有对空调、电风扇、以及环境噪音等有效滤除功能，创建清音课堂；</w:t>
            </w:r>
          </w:p>
          <w:p w14:paraId="21EC6E1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1、频率响应：20Hz～20kHz（±0.5dB）。</w:t>
            </w:r>
          </w:p>
          <w:p w14:paraId="4D49D0C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2、输入阻抗：平衡：9.4kΩ．非平衡：4.7kΩ</w:t>
            </w:r>
          </w:p>
          <w:p w14:paraId="66E8F9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3、输出阻抗：平衡：100Ω，非平衡：50Ω</w:t>
            </w:r>
          </w:p>
          <w:p w14:paraId="268CBD5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4、输入共模抑制比：</w:t>
            </w:r>
            <w:bookmarkStart w:id="302" w:name="OLE_LINK2"/>
            <w:r>
              <w:rPr>
                <w:rFonts w:hint="eastAsia" w:ascii="仿宋" w:hAnsi="仿宋" w:eastAsia="仿宋" w:cs="宋体"/>
                <w:color w:val="000000" w:themeColor="text1"/>
                <w:kern w:val="0"/>
                <w:sz w:val="20"/>
                <w:szCs w:val="20"/>
                <w14:textFill>
                  <w14:solidFill>
                    <w14:schemeClr w14:val="tx1"/>
                  </w14:solidFill>
                </w14:textFill>
              </w:rPr>
              <w:t>≥</w:t>
            </w:r>
            <w:bookmarkEnd w:id="302"/>
            <w:r>
              <w:rPr>
                <w:rFonts w:hint="eastAsia" w:ascii="仿宋" w:hAnsi="仿宋" w:eastAsia="仿宋" w:cs="宋体"/>
                <w:color w:val="000000" w:themeColor="text1"/>
                <w:kern w:val="0"/>
                <w:sz w:val="20"/>
                <w:szCs w:val="20"/>
                <w14:textFill>
                  <w14:solidFill>
                    <w14:schemeClr w14:val="tx1"/>
                  </w14:solidFill>
                </w14:textFill>
              </w:rPr>
              <w:t>78 dBu (1KHz)</w:t>
            </w:r>
          </w:p>
          <w:p w14:paraId="33A5703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5、输入到输出动态范围：112dBu</w:t>
            </w:r>
          </w:p>
          <w:p w14:paraId="338FF45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6、信噪比：&gt;93dB@0dBu，1KHz</w:t>
            </w:r>
          </w:p>
          <w:p w14:paraId="0BDB3F7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7、谐波失真+噪声：≤0.005% @1kHz，0dBu</w:t>
            </w:r>
          </w:p>
          <w:p w14:paraId="52B5387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8、通道分离度：&gt;88dB(1KHz)</w:t>
            </w:r>
          </w:p>
        </w:tc>
      </w:tr>
      <w:tr w14:paraId="03BD07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402" w:type="pct"/>
            <w:shd w:val="clear" w:color="auto" w:fill="auto"/>
            <w:vAlign w:val="center"/>
          </w:tcPr>
          <w:p w14:paraId="5AE1149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1.30.</w:t>
            </w:r>
          </w:p>
        </w:tc>
        <w:tc>
          <w:tcPr>
            <w:tcW w:w="808" w:type="pct"/>
            <w:shd w:val="clear" w:color="auto" w:fill="auto"/>
            <w:vAlign w:val="center"/>
          </w:tcPr>
          <w:p w14:paraId="095799E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电动话筒升降器</w:t>
            </w:r>
          </w:p>
        </w:tc>
        <w:tc>
          <w:tcPr>
            <w:tcW w:w="3790" w:type="pct"/>
            <w:shd w:val="clear" w:color="auto" w:fill="auto"/>
            <w:vAlign w:val="center"/>
          </w:tcPr>
          <w:p w14:paraId="6DBEF70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于大、中型礼堂报告厅扩声系统，使用功能较多，选用话筒数量较大，为了有较好的会场视频效果，需配置话筒电动升降器。通过控制系统可以设置电动升降器升降高度，实现话筒平时不外露（隐藏在舞台上方、或吊顶内），工作时自动升降到预定的高度，达到有效地控制好话筒最合式的工作数量、位置、高度，获得最优质的拾音效果和整洁的会场画面。</w:t>
            </w:r>
          </w:p>
          <w:p w14:paraId="25C6D6A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特点：</w:t>
            </w:r>
          </w:p>
          <w:p w14:paraId="51821AE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1、主机采用铸铝构造，机箱设计合理，整体高度约400，便于隐藏；</w:t>
            </w:r>
          </w:p>
          <w:p w14:paraId="4F4AE27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2、采用特制线缆进行升降，且为双线构造，信号一用一备，保证信号传输稳定性；</w:t>
            </w:r>
          </w:p>
          <w:p w14:paraId="6FD6924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3、行程9米，可根据空间高度进行定制；</w:t>
            </w:r>
          </w:p>
          <w:p w14:paraId="3CB25B2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4、线路板：具有电流过载保护，限位保护，力矩过大保护；</w:t>
            </w:r>
          </w:p>
          <w:p w14:paraId="39FEAB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5、采用精密电机进行上下升降，机械噪声&lt;25dB；</w:t>
            </w:r>
          </w:p>
          <w:p w14:paraId="6BB6DE1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6、限位方式为：电子限位加机械限位双重保护；</w:t>
            </w:r>
          </w:p>
          <w:p w14:paraId="3017D48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7、精准快速定位，根据预设高度实现一键式控制，快速、安全、稳定；</w:t>
            </w:r>
          </w:p>
          <w:p w14:paraId="681A101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w:t>
            </w:r>
          </w:p>
          <w:p w14:paraId="571E65D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1、DMX512控制系统，可预设多个高度，精确到毫米。</w:t>
            </w:r>
          </w:p>
          <w:p w14:paraId="487B5B3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2、需要使用专业DMX控制台操控才能工作。</w:t>
            </w:r>
          </w:p>
          <w:p w14:paraId="05CCE69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3、DMX 8通道（6通道升降控制、7通道速度控制）</w:t>
            </w:r>
          </w:p>
          <w:p w14:paraId="07F643A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4、可预置多个高度，一键切换</w:t>
            </w:r>
          </w:p>
          <w:p w14:paraId="7F04822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5、升降速度：0.20m/s，速度可调；</w:t>
            </w:r>
          </w:p>
          <w:p w14:paraId="4D71D13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电源：</w:t>
            </w:r>
          </w:p>
          <w:p w14:paraId="65886FE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1、有源PLC电子电源。</w:t>
            </w:r>
          </w:p>
          <w:p w14:paraId="7F332C0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2、AC100-240V宽电压，50-60Hz。</w:t>
            </w:r>
          </w:p>
          <w:p w14:paraId="1A91088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3、耗电功率：约120w。</w:t>
            </w:r>
          </w:p>
        </w:tc>
      </w:tr>
      <w:tr w14:paraId="4DA762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20" w:hRule="atLeast"/>
        </w:trPr>
        <w:tc>
          <w:tcPr>
            <w:tcW w:w="402" w:type="pct"/>
            <w:shd w:val="clear" w:color="auto" w:fill="auto"/>
            <w:vAlign w:val="center"/>
          </w:tcPr>
          <w:p w14:paraId="0BC33BE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1.31.</w:t>
            </w:r>
          </w:p>
        </w:tc>
        <w:tc>
          <w:tcPr>
            <w:tcW w:w="808" w:type="pct"/>
            <w:shd w:val="clear" w:color="auto" w:fill="auto"/>
            <w:vAlign w:val="center"/>
          </w:tcPr>
          <w:p w14:paraId="4C8D508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控制器</w:t>
            </w:r>
          </w:p>
        </w:tc>
        <w:tc>
          <w:tcPr>
            <w:tcW w:w="3790" w:type="pct"/>
            <w:shd w:val="clear" w:color="auto" w:fill="auto"/>
            <w:vAlign w:val="center"/>
          </w:tcPr>
          <w:p w14:paraId="61F9566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1、本机为192路DMX512信号控台，采用精准的cpu技术，有DMX极选择</w:t>
            </w:r>
          </w:p>
          <w:p w14:paraId="37D4BAC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2、有12个SCANNER,每个SCANNER中包含16个通道，分A页B页</w:t>
            </w:r>
          </w:p>
          <w:p w14:paraId="1C8B02E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3、可任意设置通道位置微步调节，或暂停运行，A、B叠加操作</w:t>
            </w:r>
          </w:p>
          <w:p w14:paraId="7AF1607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4、可编程30个BANK,每个BANK中包含8个可编程的SCENCE</w:t>
            </w:r>
          </w:p>
          <w:p w14:paraId="0896A5B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5、在编程时点亮按下FINE时对应LED亮时，可设置摇杆值</w:t>
            </w:r>
          </w:p>
          <w:p w14:paraId="39E561D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6、可编程6个CHASES可叠加运行</w:t>
            </w:r>
          </w:p>
          <w:p w14:paraId="6B3EFA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7、每个CHASEA可编程240步（即30个BANK SCENE)有声控自走主从模式</w:t>
            </w:r>
          </w:p>
          <w:p w14:paraId="6CF1FAF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8、在自动运行模式中，FADE可选择具有ALL或X/Y.都具有SPEED调节</w:t>
            </w:r>
          </w:p>
          <w:p w14:paraId="4137BF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9、每个SCANNER中都可设置ASSICW(摇杆）或REVIEW(求反）</w:t>
            </w:r>
          </w:p>
          <w:p w14:paraId="2B17522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10、控台之间可相互传递内部已编程的数据，具有BIACK OUT输出功能</w:t>
            </w:r>
          </w:p>
          <w:p w14:paraId="6512BCC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11、8*2LCD液晶显示器内背光英汉显示操作步骤，各按键均设对应指示灯</w:t>
            </w:r>
          </w:p>
          <w:p w14:paraId="7C1B21E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12、有DC接口，配置直流电源，（输入AC120V-230V输出DC9-12V)</w:t>
            </w:r>
          </w:p>
        </w:tc>
      </w:tr>
      <w:tr w14:paraId="354172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7330031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1.32.</w:t>
            </w:r>
          </w:p>
        </w:tc>
        <w:tc>
          <w:tcPr>
            <w:tcW w:w="808" w:type="pct"/>
            <w:shd w:val="clear" w:color="auto" w:fill="auto"/>
            <w:vAlign w:val="center"/>
          </w:tcPr>
          <w:p w14:paraId="66B3B47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高杆话筒架</w:t>
            </w:r>
          </w:p>
        </w:tc>
        <w:tc>
          <w:tcPr>
            <w:tcW w:w="3790" w:type="pct"/>
            <w:shd w:val="clear" w:color="auto" w:fill="auto"/>
            <w:vAlign w:val="center"/>
          </w:tcPr>
          <w:p w14:paraId="792083C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黑色落地式高杆话筒支架</w:t>
            </w:r>
          </w:p>
        </w:tc>
      </w:tr>
      <w:tr w14:paraId="7EEC6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402" w:type="pct"/>
            <w:shd w:val="clear" w:color="auto" w:fill="auto"/>
            <w:vAlign w:val="center"/>
          </w:tcPr>
          <w:p w14:paraId="1559138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bookmarkStart w:id="303" w:name="_Hlk201224904"/>
            <w:r>
              <w:rPr>
                <w:rFonts w:hint="eastAsia" w:ascii="仿宋" w:hAnsi="仿宋" w:eastAsia="仿宋" w:cs="宋体"/>
                <w:color w:val="000000" w:themeColor="text1"/>
                <w:kern w:val="0"/>
                <w:sz w:val="20"/>
                <w:szCs w:val="20"/>
                <w14:textFill>
                  <w14:solidFill>
                    <w14:schemeClr w14:val="tx1"/>
                  </w14:solidFill>
                </w14:textFill>
              </w:rPr>
              <w:t>1.33.</w:t>
            </w:r>
          </w:p>
        </w:tc>
        <w:tc>
          <w:tcPr>
            <w:tcW w:w="808" w:type="pct"/>
            <w:shd w:val="clear" w:color="auto" w:fill="auto"/>
            <w:vAlign w:val="center"/>
          </w:tcPr>
          <w:p w14:paraId="1CC0601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八路大功率中控滤波电源时序器</w:t>
            </w:r>
          </w:p>
        </w:tc>
        <w:tc>
          <w:tcPr>
            <w:tcW w:w="3790" w:type="pct"/>
            <w:shd w:val="clear" w:color="auto" w:fill="auto"/>
          </w:tcPr>
          <w:p w14:paraId="6C687A8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八路受控电源时序器  </w:t>
            </w:r>
          </w:p>
          <w:p w14:paraId="79AEBFF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1、最大输入电流： ≥30A；</w:t>
            </w:r>
          </w:p>
          <w:p w14:paraId="67F479A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2、单路最大输出电流：16A；</w:t>
            </w:r>
          </w:p>
          <w:p w14:paraId="7308C58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3、后面板 8 个受控万用插座；</w:t>
            </w:r>
          </w:p>
          <w:p w14:paraId="125522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4、可顺序开机，逆序关机；</w:t>
            </w:r>
          </w:p>
          <w:p w14:paraId="15142AE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5、每通道可进行中控网络控制，且可支持8台级联；</w:t>
            </w:r>
          </w:p>
          <w:p w14:paraId="7F75BB0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6、电容滤波器；  </w:t>
            </w:r>
          </w:p>
          <w:p w14:paraId="529D28D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7、电压显示。</w:t>
            </w:r>
          </w:p>
        </w:tc>
      </w:tr>
      <w:bookmarkEnd w:id="303"/>
      <w:tr w14:paraId="058BE9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2025AF1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1.34.</w:t>
            </w:r>
          </w:p>
        </w:tc>
        <w:tc>
          <w:tcPr>
            <w:tcW w:w="808" w:type="pct"/>
            <w:shd w:val="clear" w:color="auto" w:fill="auto"/>
            <w:vAlign w:val="center"/>
          </w:tcPr>
          <w:p w14:paraId="4508231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42U机柜</w:t>
            </w:r>
          </w:p>
        </w:tc>
        <w:tc>
          <w:tcPr>
            <w:tcW w:w="3790" w:type="pct"/>
            <w:shd w:val="clear" w:color="auto" w:fill="auto"/>
            <w:vAlign w:val="center"/>
          </w:tcPr>
          <w:p w14:paraId="53688F0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结构简单，操作安装方便，工艺精湛、尺寸精密，经济;</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可同时安装脚轮和支脚;</w:t>
            </w:r>
          </w:p>
        </w:tc>
      </w:tr>
      <w:tr w14:paraId="3797BC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78B15DFB">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1.35.</w:t>
            </w:r>
          </w:p>
        </w:tc>
        <w:tc>
          <w:tcPr>
            <w:tcW w:w="808" w:type="pct"/>
            <w:shd w:val="clear" w:color="auto" w:fill="auto"/>
            <w:vAlign w:val="center"/>
          </w:tcPr>
          <w:p w14:paraId="536BED2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话筒接口盒</w:t>
            </w:r>
          </w:p>
        </w:tc>
        <w:tc>
          <w:tcPr>
            <w:tcW w:w="3790" w:type="pct"/>
            <w:shd w:val="clear" w:color="auto" w:fill="auto"/>
            <w:vAlign w:val="center"/>
          </w:tcPr>
          <w:p w14:paraId="69376C0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按需定制</w:t>
            </w:r>
          </w:p>
        </w:tc>
      </w:tr>
      <w:tr w14:paraId="749A0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1B7B44E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1.36.</w:t>
            </w:r>
          </w:p>
        </w:tc>
        <w:tc>
          <w:tcPr>
            <w:tcW w:w="808" w:type="pct"/>
            <w:shd w:val="clear" w:color="auto" w:fill="auto"/>
            <w:vAlign w:val="center"/>
          </w:tcPr>
          <w:p w14:paraId="755D194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100×200金属桥架</w:t>
            </w:r>
          </w:p>
        </w:tc>
        <w:tc>
          <w:tcPr>
            <w:tcW w:w="3790" w:type="pct"/>
            <w:shd w:val="clear" w:color="auto" w:fill="auto"/>
            <w:vAlign w:val="center"/>
          </w:tcPr>
          <w:p w14:paraId="06A312A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200*100金属桥架</w:t>
            </w:r>
          </w:p>
        </w:tc>
      </w:tr>
      <w:tr w14:paraId="5AB7C6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248D537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1.37.</w:t>
            </w:r>
          </w:p>
        </w:tc>
        <w:tc>
          <w:tcPr>
            <w:tcW w:w="808" w:type="pct"/>
            <w:shd w:val="clear" w:color="auto" w:fill="auto"/>
            <w:vAlign w:val="center"/>
          </w:tcPr>
          <w:p w14:paraId="0A25656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其它安装附材线材及安装配件</w:t>
            </w:r>
          </w:p>
        </w:tc>
        <w:tc>
          <w:tcPr>
            <w:tcW w:w="3790" w:type="pct"/>
            <w:shd w:val="clear" w:color="auto" w:fill="auto"/>
            <w:vAlign w:val="center"/>
          </w:tcPr>
          <w:p w14:paraId="12C53E3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RVVP4*0.2mm2带屏蔽线 EVJE 2×2.5mm2 光纤传输信号线 无氧铜信号线 HDMI光纤线及备份线</w:t>
            </w:r>
          </w:p>
        </w:tc>
      </w:tr>
      <w:tr w14:paraId="738823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61D750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1.38.</w:t>
            </w:r>
          </w:p>
        </w:tc>
        <w:tc>
          <w:tcPr>
            <w:tcW w:w="808" w:type="pct"/>
            <w:shd w:val="clear" w:color="auto" w:fill="auto"/>
            <w:vAlign w:val="center"/>
          </w:tcPr>
          <w:p w14:paraId="6465A74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提词器</w:t>
            </w:r>
          </w:p>
        </w:tc>
        <w:tc>
          <w:tcPr>
            <w:tcW w:w="3790" w:type="pct"/>
            <w:shd w:val="clear" w:color="auto" w:fill="auto"/>
            <w:vAlign w:val="center"/>
          </w:tcPr>
          <w:p w14:paraId="6DC2F97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显示屏≥60寸</w:t>
            </w:r>
          </w:p>
        </w:tc>
      </w:tr>
      <w:tr w14:paraId="63056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61FF48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1.39.</w:t>
            </w:r>
          </w:p>
        </w:tc>
        <w:tc>
          <w:tcPr>
            <w:tcW w:w="808" w:type="pct"/>
            <w:shd w:val="clear" w:color="auto" w:fill="auto"/>
            <w:vAlign w:val="center"/>
          </w:tcPr>
          <w:p w14:paraId="3A50814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对讲机</w:t>
            </w:r>
          </w:p>
        </w:tc>
        <w:tc>
          <w:tcPr>
            <w:tcW w:w="3790" w:type="pct"/>
            <w:shd w:val="clear" w:color="auto" w:fill="auto"/>
            <w:vAlign w:val="center"/>
          </w:tcPr>
          <w:p w14:paraId="7403EEA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前后即时通信</w:t>
            </w:r>
          </w:p>
        </w:tc>
      </w:tr>
      <w:tr w14:paraId="1F2FFF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5A6D7EE">
            <w:pPr>
              <w:widowControl/>
              <w:spacing w:line="276" w:lineRule="auto"/>
              <w:jc w:val="center"/>
              <w:rPr>
                <w:rFonts w:hint="eastAsia"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2</w:t>
            </w:r>
          </w:p>
        </w:tc>
        <w:tc>
          <w:tcPr>
            <w:tcW w:w="4598" w:type="pct"/>
            <w:gridSpan w:val="2"/>
            <w:shd w:val="clear" w:color="auto" w:fill="auto"/>
            <w:vAlign w:val="center"/>
          </w:tcPr>
          <w:p w14:paraId="59737158">
            <w:pPr>
              <w:widowControl/>
              <w:spacing w:line="276" w:lineRule="auto"/>
              <w:rPr>
                <w:rFonts w:hint="eastAsia"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灯光系统</w:t>
            </w:r>
          </w:p>
        </w:tc>
      </w:tr>
      <w:tr w14:paraId="71CB6D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402" w:type="pct"/>
            <w:shd w:val="clear" w:color="auto" w:fill="auto"/>
            <w:vAlign w:val="center"/>
          </w:tcPr>
          <w:p w14:paraId="18FA3D9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w:t>
            </w:r>
          </w:p>
        </w:tc>
        <w:tc>
          <w:tcPr>
            <w:tcW w:w="808" w:type="pct"/>
            <w:shd w:val="clear" w:color="auto" w:fill="auto"/>
            <w:vAlign w:val="center"/>
          </w:tcPr>
          <w:p w14:paraId="5E3A704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LED变焦面光灯</w:t>
            </w:r>
          </w:p>
        </w:tc>
        <w:tc>
          <w:tcPr>
            <w:tcW w:w="3790" w:type="pct"/>
            <w:shd w:val="clear" w:color="auto" w:fill="auto"/>
            <w:vAlign w:val="center"/>
          </w:tcPr>
          <w:p w14:paraId="4348674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额定电压：AC100V～240V，50～60Hz</w:t>
            </w:r>
          </w:p>
          <w:p w14:paraId="25838DE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率：≥200W</w:t>
            </w:r>
          </w:p>
          <w:p w14:paraId="49B5C20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LED灯珠：白光3200K、4500K、5600K、3200-5600K/四合一RGBW（可定制）</w:t>
            </w:r>
          </w:p>
          <w:p w14:paraId="4DA1C41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光学角度：≤6-≥60度</w:t>
            </w:r>
          </w:p>
          <w:p w14:paraId="1D4A91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通道模式：5/9CH</w:t>
            </w:r>
          </w:p>
          <w:p w14:paraId="41C2F23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控制模式：DMX-512控制操作、主从机模式、单机模式.</w:t>
            </w:r>
          </w:p>
          <w:p w14:paraId="212CD3C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颜   色：连续的红绿蓝和白色的颜色转换，多彩无限混色彩虹效果，可调速</w:t>
            </w:r>
          </w:p>
          <w:p w14:paraId="7DFC9F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调   光：0—100%</w:t>
            </w:r>
          </w:p>
          <w:p w14:paraId="468EEB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   闪：电子频闪1-25fps/秒，随机频闪，按顺序跳动，变速频闪（从慢到快），混合频闪（频闪+底色、频闪+渐变）</w:t>
            </w:r>
          </w:p>
          <w:p w14:paraId="2A852B9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散   热：通过优质压铸铝散热片对流冷却</w:t>
            </w:r>
          </w:p>
          <w:p w14:paraId="7F41A3F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防护等级：IP20</w:t>
            </w:r>
          </w:p>
          <w:p w14:paraId="0892233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灯体尺寸：约380x230x220mm</w:t>
            </w:r>
          </w:p>
        </w:tc>
      </w:tr>
      <w:tr w14:paraId="56D64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0" w:hRule="atLeast"/>
        </w:trPr>
        <w:tc>
          <w:tcPr>
            <w:tcW w:w="402" w:type="pct"/>
            <w:shd w:val="clear" w:color="auto" w:fill="auto"/>
            <w:vAlign w:val="center"/>
          </w:tcPr>
          <w:p w14:paraId="5C3C108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2.2.</w:t>
            </w:r>
          </w:p>
        </w:tc>
        <w:tc>
          <w:tcPr>
            <w:tcW w:w="808" w:type="pct"/>
            <w:shd w:val="clear" w:color="auto" w:fill="auto"/>
            <w:vAlign w:val="center"/>
          </w:tcPr>
          <w:p w14:paraId="068CF16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LED染色投光灯</w:t>
            </w:r>
          </w:p>
        </w:tc>
        <w:tc>
          <w:tcPr>
            <w:tcW w:w="3790" w:type="pct"/>
            <w:shd w:val="clear" w:color="auto" w:fill="auto"/>
            <w:vAlign w:val="center"/>
          </w:tcPr>
          <w:p w14:paraId="355353F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电源电压：AC100V-240V，50/60Hz</w:t>
            </w:r>
          </w:p>
          <w:p w14:paraId="4BF0F44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率：≥150W</w:t>
            </w:r>
          </w:p>
          <w:p w14:paraId="152ED0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光学透镜：高光效直径31mm25度透镜</w:t>
            </w:r>
          </w:p>
          <w:p w14:paraId="582A216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    道：≥3/8通道模式选择</w:t>
            </w:r>
          </w:p>
          <w:p w14:paraId="3B46626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控制模式：DMX-512控制操作、主从机模式、单机模式，≥8种内置效果可以通过DMX控台和已制定程序选择使用</w:t>
            </w:r>
          </w:p>
          <w:p w14:paraId="61F2F02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颜   色：连续的红绿蓝和白色的颜色转换，RGBW无限混色彩虹效果，可调速</w:t>
            </w:r>
          </w:p>
          <w:p w14:paraId="7AD9B8C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调   光：0—100%</w:t>
            </w:r>
          </w:p>
          <w:p w14:paraId="3EB052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   示：四位八段数码管</w:t>
            </w:r>
          </w:p>
          <w:p w14:paraId="004FB00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   闪：电子频闪1-25fps/秒，随机频闪，按顺序跳动，变速频闪（从慢到快），混合频闪（频闪+底色、频闪+渐变）</w:t>
            </w:r>
          </w:p>
          <w:p w14:paraId="7455BB0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散   热：通过优质散热片对流冷却,智能静音风扇辅助散热</w:t>
            </w:r>
          </w:p>
        </w:tc>
      </w:tr>
      <w:tr w14:paraId="592BD1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02" w:type="pct"/>
            <w:shd w:val="clear" w:color="auto" w:fill="auto"/>
            <w:vAlign w:val="center"/>
          </w:tcPr>
          <w:p w14:paraId="35C25CB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2.3.</w:t>
            </w:r>
          </w:p>
        </w:tc>
        <w:tc>
          <w:tcPr>
            <w:tcW w:w="808" w:type="pct"/>
            <w:shd w:val="clear" w:color="auto" w:fill="auto"/>
            <w:vAlign w:val="center"/>
          </w:tcPr>
          <w:p w14:paraId="745099E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电脑光束摇头灯</w:t>
            </w:r>
          </w:p>
        </w:tc>
        <w:tc>
          <w:tcPr>
            <w:tcW w:w="3790" w:type="pct"/>
            <w:shd w:val="clear" w:color="auto" w:fill="auto"/>
            <w:vAlign w:val="center"/>
          </w:tcPr>
          <w:p w14:paraId="3EFE4D8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额定电压：AC100V～240V，50～60Hz;</w:t>
            </w:r>
          </w:p>
          <w:p w14:paraId="2875771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 xml:space="preserve">功率：≥400W; </w:t>
            </w:r>
          </w:p>
          <w:p w14:paraId="3FDAE51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光学：两组光学透镜，电动聚焦，出光角度3度;</w:t>
            </w:r>
          </w:p>
          <w:p w14:paraId="389D5E3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颜色：≥13颜色+白光，彩虹，半色效果;</w:t>
            </w:r>
          </w:p>
          <w:p w14:paraId="05E3159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图案：≥13个固定图案片+白光;</w:t>
            </w:r>
          </w:p>
          <w:p w14:paraId="728261C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棱镜：一个≥8棱镜，</w:t>
            </w:r>
          </w:p>
          <w:p w14:paraId="309A23A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正反转</w:t>
            </w: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 xml:space="preserve">水平扫描：540°(16bit精度扫描) </w:t>
            </w:r>
          </w:p>
          <w:p w14:paraId="097086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电子纠错</w:t>
            </w: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垂直扫描：270° (16bit精度扫描) 电子纠错;</w:t>
            </w:r>
          </w:p>
          <w:p w14:paraId="2007467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雾化：效果移动，雾化功能，七彩效果;</w:t>
            </w:r>
          </w:p>
          <w:p w14:paraId="1B54CE0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频 闪：由快到慢，支持机械频闪和可调速频闪效果，支持频闪宏功能;</w:t>
            </w:r>
          </w:p>
          <w:p w14:paraId="1DF047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调光：0-100%线性机械调光;</w:t>
            </w:r>
          </w:p>
          <w:p w14:paraId="66E1F94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散热系统：强制对流冷却，智能风机散热;</w:t>
            </w:r>
          </w:p>
          <w:p w14:paraId="749E7DB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控制模式：DMX512，RDM自走模式，主从模式，手动多场景模式;</w:t>
            </w:r>
          </w:p>
          <w:p w14:paraId="01C7979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通道数量：16/20CH可选;</w:t>
            </w:r>
          </w:p>
          <w:p w14:paraId="33A13FE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显示：1.8寸液晶显示，中英文切换，自动180度旋转。</w:t>
            </w:r>
          </w:p>
          <w:p w14:paraId="6521AEE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功能：图案盘和颜色盘具有自动检磁纠错功能，带机器故障提示,电子精准提示故障原因, 各项功能运行速度快且平滑;</w:t>
            </w:r>
          </w:p>
          <w:p w14:paraId="3FCD37A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防护等级：IP20, 内置过热和触发高压保护;</w:t>
            </w:r>
          </w:p>
          <w:p w14:paraId="0BBA4B4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br w:type="page"/>
            </w:r>
            <w:r>
              <w:rPr>
                <w:rFonts w:hint="eastAsia" w:ascii="仿宋" w:hAnsi="仿宋" w:eastAsia="仿宋" w:cs="宋体"/>
                <w:color w:val="000000" w:themeColor="text1"/>
                <w:kern w:val="0"/>
                <w:sz w:val="20"/>
                <w:szCs w:val="20"/>
                <w14:textFill>
                  <w14:solidFill>
                    <w14:schemeClr w14:val="tx1"/>
                  </w14:solidFill>
                </w14:textFill>
              </w:rPr>
              <w:t>灯体尺寸：约L290*W240*H480mm 。</w:t>
            </w:r>
          </w:p>
        </w:tc>
      </w:tr>
      <w:tr w14:paraId="2FF60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4" w:hRule="atLeast"/>
        </w:trPr>
        <w:tc>
          <w:tcPr>
            <w:tcW w:w="402" w:type="pct"/>
            <w:shd w:val="clear" w:color="auto" w:fill="auto"/>
            <w:vAlign w:val="center"/>
          </w:tcPr>
          <w:p w14:paraId="6D01270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2.4.</w:t>
            </w:r>
          </w:p>
        </w:tc>
        <w:tc>
          <w:tcPr>
            <w:tcW w:w="808" w:type="pct"/>
            <w:shd w:val="clear" w:color="auto" w:fill="auto"/>
            <w:vAlign w:val="center"/>
          </w:tcPr>
          <w:p w14:paraId="35D2034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电脑光束摇头灯</w:t>
            </w:r>
          </w:p>
        </w:tc>
        <w:tc>
          <w:tcPr>
            <w:tcW w:w="3790" w:type="pct"/>
            <w:shd w:val="clear" w:color="auto" w:fill="auto"/>
            <w:vAlign w:val="center"/>
          </w:tcPr>
          <w:p w14:paraId="0498351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额定电压：AC100V～240V，50～60Hz</w:t>
            </w:r>
          </w:p>
          <w:p w14:paraId="466E8DC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功    率：≥400W </w:t>
            </w:r>
          </w:p>
          <w:p w14:paraId="65DD18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光    学：两组光学透镜，电动聚焦，出光角度3度</w:t>
            </w:r>
          </w:p>
          <w:p w14:paraId="6782AD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颜    色：≥13颜色+白光，彩虹，半色效果</w:t>
            </w:r>
          </w:p>
          <w:p w14:paraId="15E42F5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图    案：≥13个固定图案片+白光</w:t>
            </w:r>
          </w:p>
          <w:p w14:paraId="408A5EA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棱    镜：一个≥8棱镜，正反转</w:t>
            </w:r>
          </w:p>
          <w:p w14:paraId="244FFF4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水平扫描：540°(16bit精度扫描) 电子纠错</w:t>
            </w:r>
          </w:p>
          <w:p w14:paraId="513806D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垂直扫描：270° (16bit精度扫描) 电子纠错</w:t>
            </w:r>
          </w:p>
          <w:p w14:paraId="0EE607D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雾    化：效果移动，雾化功能，七彩效果</w:t>
            </w:r>
          </w:p>
          <w:p w14:paraId="6DDED24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    闪：由快到慢，支持机械频闪和可调速频闪效果，支持频闪宏功能</w:t>
            </w:r>
          </w:p>
          <w:p w14:paraId="58C7C1C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调    光：0-100%线性机械调光</w:t>
            </w:r>
          </w:p>
          <w:p w14:paraId="43188DE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散热系统：强制对流冷却，智能风机散热 </w:t>
            </w:r>
          </w:p>
          <w:p w14:paraId="3372562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控制模式：DMX512，RDM自走模式，主从模式，手动多场景模式</w:t>
            </w:r>
          </w:p>
          <w:p w14:paraId="3BB774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通道数量：16/20CH可选</w:t>
            </w:r>
          </w:p>
          <w:p w14:paraId="245CFE1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    示：1.8寸液晶显示，中英文切换，自动180度旋转。</w:t>
            </w:r>
          </w:p>
          <w:p w14:paraId="657A4D6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功    能：图案盘和颜色盘具有自动检磁纠错功能，带机器故障提示,电子精准提示故障原因, 各项功能运行速度快且平滑 </w:t>
            </w:r>
          </w:p>
          <w:p w14:paraId="6188820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防护等级：IP20, 内置过热和触发高压保护</w:t>
            </w:r>
          </w:p>
          <w:p w14:paraId="46D5B61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灯体尺寸：约L290*W240*H480mm 。</w:t>
            </w:r>
          </w:p>
        </w:tc>
      </w:tr>
      <w:tr w14:paraId="68BF2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02" w:type="pct"/>
            <w:shd w:val="clear" w:color="auto" w:fill="auto"/>
            <w:vAlign w:val="center"/>
          </w:tcPr>
          <w:p w14:paraId="0885079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2.5.</w:t>
            </w:r>
          </w:p>
        </w:tc>
        <w:tc>
          <w:tcPr>
            <w:tcW w:w="808" w:type="pct"/>
            <w:shd w:val="clear" w:color="auto" w:fill="auto"/>
            <w:vAlign w:val="center"/>
          </w:tcPr>
          <w:p w14:paraId="64D5E9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LED图案染色摇头灯</w:t>
            </w:r>
          </w:p>
        </w:tc>
        <w:tc>
          <w:tcPr>
            <w:tcW w:w="3790" w:type="pct"/>
            <w:shd w:val="clear" w:color="auto" w:fill="auto"/>
            <w:vAlign w:val="center"/>
          </w:tcPr>
          <w:p w14:paraId="3D20941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额定电压：AC100V～240V，50～60Hz</w:t>
            </w:r>
          </w:p>
          <w:p w14:paraId="48F67B6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率：≥350W</w:t>
            </w:r>
          </w:p>
          <w:p w14:paraId="3F70413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光    学：≥4个光学透镜，电子聚焦0-45度</w:t>
            </w:r>
          </w:p>
          <w:p w14:paraId="552BB70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颜    色：≥13个颜色+空白，可做双向变速彩虹效果</w:t>
            </w:r>
          </w:p>
          <w:p w14:paraId="11C2A0E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图案盘1：≥12个可定制更换旋转图案片+空白，线性放大缩小</w:t>
            </w:r>
          </w:p>
          <w:p w14:paraId="7F47C8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图案盘2：≥14个旋转图案片+空白，图案可做流水和振动效果，速度可调，线性放大缩小</w:t>
            </w:r>
          </w:p>
          <w:p w14:paraId="6CDEE1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棱    镜：一个≥8棱镜，一个≥16棱镜，可叠加24棱镜效果，正反转</w:t>
            </w:r>
          </w:p>
          <w:p w14:paraId="03D6801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水平扫描：540°(16bit精度扫描) 电子纠错</w:t>
            </w:r>
          </w:p>
          <w:p w14:paraId="29C22FD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垂直扫描：270° (16bit精度扫描) 电子纠错</w:t>
            </w:r>
          </w:p>
          <w:p w14:paraId="306E983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雾    化：效果移动，雾化功能</w:t>
            </w:r>
          </w:p>
          <w:p w14:paraId="5529016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    闪：由快到慢，支持机械频闪和可调速频闪效果，支持频闪宏功能</w:t>
            </w:r>
          </w:p>
          <w:p w14:paraId="74481D0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调    光：0-100%线性调光</w:t>
            </w:r>
          </w:p>
          <w:p w14:paraId="4607773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散热系统：强制对流冷却，智能风机散热，灯泡保护功能，灯泡扇热风扇异常自动关灯功能，避免风扇转速异常导致灯泡过热爆灯问题，开机在未点泡的转态下，主风机不运行，点泡后根据温度自动启动，最大限度降低噪音</w:t>
            </w:r>
          </w:p>
          <w:p w14:paraId="5C148FF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控制模式：DMX512，自走模式，主从模式</w:t>
            </w:r>
          </w:p>
          <w:p w14:paraId="3EAD6B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通道数量：16/21CH可选</w:t>
            </w:r>
          </w:p>
          <w:p w14:paraId="5B7EFA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    示：2.8寸液晶显示，中英文切换，180度旋转。</w:t>
            </w:r>
          </w:p>
          <w:p w14:paraId="112049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能：强化了光束功能，又兼顾了图案，染色功能，图案盘和颜色盘具有自动检磁纠错功能，带机器故障提示,电子精准提示故障原因, 各项功能运行速度快且平滑，X轴、Y轴、色盘、图案盘均按最短路径快速走到位，调焦、棱镜、雾化切换瞬间完成，快速定位，定点打光快速准确，慢走、刹车非常平滑，耐高温、高压，抗干扰力强</w:t>
            </w:r>
          </w:p>
          <w:p w14:paraId="09D837B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防护等级：IP20, 内置过热和触发高压保护</w:t>
            </w:r>
          </w:p>
        </w:tc>
      </w:tr>
      <w:tr w14:paraId="579CED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5" w:hRule="atLeast"/>
        </w:trPr>
        <w:tc>
          <w:tcPr>
            <w:tcW w:w="402" w:type="pct"/>
            <w:shd w:val="clear" w:color="auto" w:fill="auto"/>
            <w:vAlign w:val="center"/>
          </w:tcPr>
          <w:p w14:paraId="0D59BA3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2.6.</w:t>
            </w:r>
          </w:p>
        </w:tc>
        <w:tc>
          <w:tcPr>
            <w:tcW w:w="808" w:type="pct"/>
            <w:shd w:val="clear" w:color="auto" w:fill="auto"/>
            <w:vAlign w:val="center"/>
          </w:tcPr>
          <w:p w14:paraId="2398F58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LED平板会议灯（448颗）</w:t>
            </w:r>
          </w:p>
        </w:tc>
        <w:tc>
          <w:tcPr>
            <w:tcW w:w="3790" w:type="pct"/>
            <w:shd w:val="clear" w:color="auto" w:fill="auto"/>
          </w:tcPr>
          <w:p w14:paraId="4C5DC5F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额定电压：AC110V～240V，50～60Hz</w:t>
            </w:r>
          </w:p>
          <w:p w14:paraId="7A220FC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率：≥250W</w:t>
            </w:r>
          </w:p>
          <w:p w14:paraId="427E931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光    源:LED≥448颗0.5W LED节能发光芯片</w:t>
            </w:r>
          </w:p>
          <w:p w14:paraId="727DCBC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色    温：3200±200K/5600±200K/3200-5600K可调（三种选择）</w:t>
            </w:r>
          </w:p>
          <w:p w14:paraId="57B84AA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出光角度：120度</w:t>
            </w:r>
          </w:p>
          <w:p w14:paraId="6CA16A3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显色指数：Ra≥95</w:t>
            </w:r>
          </w:p>
          <w:p w14:paraId="280601E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    道：1/2CH通道选择（双色温2/4CH选择）</w:t>
            </w:r>
          </w:p>
          <w:p w14:paraId="7E2027F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控制模式：DMX512、手动、主副机</w:t>
            </w:r>
          </w:p>
          <w:p w14:paraId="29BA8B9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显示方式：液晶显示,中英文切换</w:t>
            </w:r>
          </w:p>
          <w:p w14:paraId="4781179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遮 光 板：高效乳白色导光板，解决眩光问题</w:t>
            </w:r>
          </w:p>
          <w:p w14:paraId="08C1417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工作环境：适合用在多媒体会议室，礼堂，</w:t>
            </w:r>
          </w:p>
          <w:p w14:paraId="1976204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外壳材料：铝材+导光板</w:t>
            </w:r>
          </w:p>
          <w:p w14:paraId="647BE30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散    热：压铸铝自动散热，无风扇，无噪音</w:t>
            </w:r>
          </w:p>
        </w:tc>
      </w:tr>
      <w:tr w14:paraId="53DD8F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5" w:hRule="atLeast"/>
        </w:trPr>
        <w:tc>
          <w:tcPr>
            <w:tcW w:w="402" w:type="pct"/>
            <w:shd w:val="clear" w:color="auto" w:fill="auto"/>
            <w:vAlign w:val="center"/>
          </w:tcPr>
          <w:p w14:paraId="01B37E4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2.7.</w:t>
            </w:r>
          </w:p>
        </w:tc>
        <w:tc>
          <w:tcPr>
            <w:tcW w:w="808" w:type="pct"/>
            <w:shd w:val="clear" w:color="auto" w:fill="auto"/>
            <w:vAlign w:val="center"/>
          </w:tcPr>
          <w:p w14:paraId="1CC547C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LED嵌入式会议灯</w:t>
            </w:r>
          </w:p>
        </w:tc>
        <w:tc>
          <w:tcPr>
            <w:tcW w:w="3790" w:type="pct"/>
            <w:shd w:val="clear" w:color="auto" w:fill="auto"/>
            <w:vAlign w:val="center"/>
          </w:tcPr>
          <w:p w14:paraId="1D03972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额定电压：AC210V～240V，50～60Hz</w:t>
            </w:r>
          </w:p>
          <w:p w14:paraId="51D478E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   率：≥150W</w:t>
            </w:r>
          </w:p>
          <w:p w14:paraId="34FE4F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色    温：3200±200K/5600±200K/3200-5600K可调（三种选择）</w:t>
            </w:r>
          </w:p>
          <w:p w14:paraId="48ACDF5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出光角度：120度</w:t>
            </w:r>
          </w:p>
          <w:p w14:paraId="7D39369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显色指数：Ra≥95</w:t>
            </w:r>
          </w:p>
          <w:p w14:paraId="58423E9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通    道：1/2CH通道选择（双色温2/4CH选择）</w:t>
            </w:r>
          </w:p>
          <w:p w14:paraId="5C5963E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控制模式：DMX512、手动、主副机</w:t>
            </w:r>
          </w:p>
          <w:p w14:paraId="05F983F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显示方式：液晶显示,中英文切换</w:t>
            </w:r>
          </w:p>
          <w:p w14:paraId="0B8355A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遮 光 板：高效乳白色导光板，解决眩光问题</w:t>
            </w:r>
          </w:p>
          <w:p w14:paraId="65CD43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工作环境：适合用在多媒体会议室，礼堂，</w:t>
            </w:r>
          </w:p>
          <w:p w14:paraId="1974652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外壳材料：铝材+导光板</w:t>
            </w:r>
          </w:p>
          <w:p w14:paraId="160A69E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灯体尺寸：约L634*W342*H116mm</w:t>
            </w:r>
          </w:p>
        </w:tc>
      </w:tr>
      <w:tr w14:paraId="78E7E0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0" w:hRule="atLeast"/>
        </w:trPr>
        <w:tc>
          <w:tcPr>
            <w:tcW w:w="402" w:type="pct"/>
            <w:shd w:val="clear" w:color="auto" w:fill="auto"/>
            <w:vAlign w:val="center"/>
          </w:tcPr>
          <w:p w14:paraId="046BDC9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2.8.</w:t>
            </w:r>
          </w:p>
        </w:tc>
        <w:tc>
          <w:tcPr>
            <w:tcW w:w="808" w:type="pct"/>
            <w:shd w:val="clear" w:color="auto" w:fill="auto"/>
            <w:vAlign w:val="center"/>
          </w:tcPr>
          <w:p w14:paraId="7A0707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350追光灯</w:t>
            </w:r>
          </w:p>
        </w:tc>
        <w:tc>
          <w:tcPr>
            <w:tcW w:w="3790" w:type="pct"/>
            <w:shd w:val="clear" w:color="auto" w:fill="auto"/>
            <w:vAlign w:val="center"/>
          </w:tcPr>
          <w:p w14:paraId="3628AD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电    源：AC100-240V，50Hz-60Hz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消耗功率：≥450W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光    源：HRI≥350W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色    温：内置7500K，6500K，4500k，3200K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光 束 角：≤1-≥9°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控制方式：手动控制面板</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调 光 器：双片调光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光   圈：线性放大和缩小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颜   色：≥5色+白色（红绿蓝橙黄）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工作环境：高达40°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保 护 率：IP20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外  壳：钢铁+铝</w:t>
            </w:r>
          </w:p>
        </w:tc>
      </w:tr>
      <w:tr w14:paraId="0DFF77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402" w:type="pct"/>
            <w:shd w:val="clear" w:color="auto" w:fill="auto"/>
            <w:vAlign w:val="center"/>
          </w:tcPr>
          <w:p w14:paraId="5FAE160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2.9.</w:t>
            </w:r>
          </w:p>
        </w:tc>
        <w:tc>
          <w:tcPr>
            <w:tcW w:w="808" w:type="pct"/>
            <w:shd w:val="clear" w:color="auto" w:fill="auto"/>
            <w:vAlign w:val="center"/>
          </w:tcPr>
          <w:p w14:paraId="0B70877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24路电柜</w:t>
            </w:r>
          </w:p>
        </w:tc>
        <w:tc>
          <w:tcPr>
            <w:tcW w:w="3790" w:type="pct"/>
            <w:shd w:val="clear" w:color="auto" w:fill="auto"/>
            <w:vAlign w:val="center"/>
          </w:tcPr>
          <w:p w14:paraId="1D38F66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供电：三相五线制AC380V±10％，频率50Hz±5％.</w:t>
            </w:r>
          </w:p>
          <w:p w14:paraId="4FB5039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输入额定电流：≥400A ,最大可做≥96路×≥4KW可用于任何负载.</w:t>
            </w:r>
          </w:p>
          <w:p w14:paraId="63FE92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设有总开关,过载与短路双重保护高分断空气开关. </w:t>
            </w:r>
          </w:p>
          <w:p w14:paraId="0FE40D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三相独立电压，电流，监测，三相A.B.C 指示灯指示.</w:t>
            </w:r>
          </w:p>
          <w:p w14:paraId="51F7461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输出功率可选：额定功率：≥24路X≥4KW  </w:t>
            </w:r>
          </w:p>
          <w:p w14:paraId="3C1E0BF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外形尺寸:国际标准18U  输出方式可选：40A胶木插输出，3*10A胶木插输出，16A或者32A防水插输出，19芯防水插输出</w:t>
            </w:r>
          </w:p>
        </w:tc>
      </w:tr>
      <w:tr w14:paraId="715B0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5" w:hRule="atLeast"/>
        </w:trPr>
        <w:tc>
          <w:tcPr>
            <w:tcW w:w="402" w:type="pct"/>
            <w:shd w:val="clear" w:color="auto" w:fill="auto"/>
            <w:vAlign w:val="center"/>
          </w:tcPr>
          <w:p w14:paraId="382D2EA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2.10.</w:t>
            </w:r>
          </w:p>
        </w:tc>
        <w:tc>
          <w:tcPr>
            <w:tcW w:w="808" w:type="pct"/>
            <w:shd w:val="clear" w:color="auto" w:fill="auto"/>
            <w:vAlign w:val="center"/>
          </w:tcPr>
          <w:p w14:paraId="75ADD3B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信号放大器</w:t>
            </w:r>
          </w:p>
        </w:tc>
        <w:tc>
          <w:tcPr>
            <w:tcW w:w="3790" w:type="pct"/>
            <w:shd w:val="clear" w:color="auto" w:fill="auto"/>
            <w:vAlign w:val="center"/>
          </w:tcPr>
          <w:p w14:paraId="45E8356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一进八出，供电：115V/230V  频率：50HZ.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放大功能可以令连接延长超过标准的DMX512长度.</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若需要额外的位置，可以在同一连接上使用多个信号放大器.</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每个连接的位置可以独立地连接，最多可达≥32台灯具.</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外观设计轻便，结构坚固，减少问题再发生</w:t>
            </w:r>
          </w:p>
        </w:tc>
      </w:tr>
      <w:tr w14:paraId="2E99C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02" w:type="pct"/>
            <w:shd w:val="clear" w:color="auto" w:fill="auto"/>
            <w:vAlign w:val="center"/>
          </w:tcPr>
          <w:p w14:paraId="5F4BD80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2.11.</w:t>
            </w:r>
          </w:p>
        </w:tc>
        <w:tc>
          <w:tcPr>
            <w:tcW w:w="808" w:type="pct"/>
            <w:shd w:val="clear" w:color="auto" w:fill="auto"/>
            <w:vAlign w:val="center"/>
          </w:tcPr>
          <w:p w14:paraId="7DAC160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灯光控台</w:t>
            </w:r>
          </w:p>
        </w:tc>
        <w:tc>
          <w:tcPr>
            <w:tcW w:w="3790" w:type="pct"/>
            <w:shd w:val="clear" w:color="auto" w:fill="auto"/>
            <w:vAlign w:val="center"/>
          </w:tcPr>
          <w:p w14:paraId="149C89C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采用功能强大的泰坦Titan Ver9.1操作系统,可随意切换10.0/10.1系统  I5四代处理器，≥120G固态硬盘，≥4G内存</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1.支持中文菜单显示，且内置多国语言</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2.支持任何手机或者Ipad 电脑遥控灯光控制台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3.内置一个≥15.6寸高清分辨率触摸屏。并可扩展一个带触摸的高清显示屏</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4.内置备用电源（UPS）防止突然断电损坏系统,备用电源可用支持30分钟以上，可扩展为1到5小时。</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内置UPS电源可升级为在没有外部电源时，电池组电力在正常范围内时开机运行。</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5.标准≥12个DMX输出端口和MIDI接口，≥6144个DMX通道.可扩展至≥64个DMX输出≥ 32768DMX通道</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DMX输出座采用原装瑞士纽曲克座，标准3XLR座，可选择5XLR座。</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6.≥10个宏按键，可编辑任何程序</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7.≥10个重放推杆，支持≥1000个虚拟重放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8.强大的CMY调色板功能。</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9.支持涂鸦式手写命名功能</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10.支持CITP协议，可预览服务器或数字灯的内置素材</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11.内置数千种灯库，并内置灯库编辑软件</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12.内置Visualiser可视化舞台模拟软件，支持视频</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13.提供MIDI时间码控制，由MIDI遥控重放按钮或推子</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14.内置像素映射及内置图形</w:t>
            </w:r>
            <w:r>
              <w:rPr>
                <w:rFonts w:hint="eastAsia" w:cs="宋体"/>
                <w:color w:val="000000" w:themeColor="text1"/>
                <w:kern w:val="0"/>
                <w:sz w:val="20"/>
                <w:szCs w:val="20"/>
                <w14:textFill>
                  <w14:solidFill>
                    <w14:schemeClr w14:val="tx1"/>
                  </w14:solidFill>
                </w14:textFill>
              </w:rPr>
              <w:t> </w:t>
            </w:r>
          </w:p>
        </w:tc>
      </w:tr>
      <w:tr w14:paraId="22B110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402" w:type="pct"/>
            <w:shd w:val="clear" w:color="auto" w:fill="auto"/>
            <w:vAlign w:val="center"/>
          </w:tcPr>
          <w:p w14:paraId="6B9AAE1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2.12.</w:t>
            </w:r>
          </w:p>
        </w:tc>
        <w:tc>
          <w:tcPr>
            <w:tcW w:w="808" w:type="pct"/>
            <w:shd w:val="clear" w:color="auto" w:fill="auto"/>
            <w:vAlign w:val="center"/>
          </w:tcPr>
          <w:p w14:paraId="75EF105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双雾机</w:t>
            </w:r>
          </w:p>
        </w:tc>
        <w:tc>
          <w:tcPr>
            <w:tcW w:w="3790" w:type="pct"/>
            <w:shd w:val="clear" w:color="auto" w:fill="auto"/>
            <w:vAlign w:val="center"/>
          </w:tcPr>
          <w:p w14:paraId="6E6552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使用电压：220-240V 50/60 HZ  </w:t>
            </w:r>
          </w:p>
          <w:p w14:paraId="28BDA64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限流保险：≥5A</w:t>
            </w:r>
          </w:p>
          <w:p w14:paraId="2226763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功率：≥600W</w:t>
            </w:r>
          </w:p>
          <w:p w14:paraId="353CDDF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预热时 间：0S</w:t>
            </w:r>
          </w:p>
          <w:p w14:paraId="3862681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输出量：≥3000立方尺/分钟</w:t>
            </w:r>
          </w:p>
          <w:p w14:paraId="7AF1D37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油桶容积：≥2.5升</w:t>
            </w:r>
          </w:p>
          <w:p w14:paraId="606441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耗油量：≥20小时/升</w:t>
            </w:r>
          </w:p>
          <w:p w14:paraId="3FCEA82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耗材：WY-01特效雾化油</w:t>
            </w:r>
          </w:p>
          <w:p w14:paraId="24D198C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DMX通道：2通道 通道1:喷烟开关 通道2:风扇调速</w:t>
            </w:r>
          </w:p>
          <w:p w14:paraId="63AD836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配件：电源线</w:t>
            </w:r>
          </w:p>
          <w:p w14:paraId="077487B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机器尺寸：约49.3*37*40cm</w:t>
            </w:r>
          </w:p>
          <w:p w14:paraId="7E32D7D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1、产生出的烟雾粒子更细致，更具环保性；</w:t>
            </w:r>
          </w:p>
          <w:p w14:paraId="758A7DA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2、无须加热等待，即开即用，安静且布烟更迅速；</w:t>
            </w:r>
          </w:p>
          <w:p w14:paraId="46152EA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3、内键DMX系统，操作人员任意搭配DMX系统；</w:t>
            </w:r>
          </w:p>
          <w:p w14:paraId="107FF17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4、具有开关机及周期循环定时系统，让操作更随心；</w:t>
            </w:r>
          </w:p>
          <w:p w14:paraId="72AF28F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5、人性化的无油保护提醒功能，使用更安心；</w:t>
            </w:r>
          </w:p>
          <w:p w14:paraId="7899A96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6、喷口仓门关闭时机器自动停止工作；</w:t>
            </w:r>
          </w:p>
          <w:p w14:paraId="5AA9705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7、科学合理的内部散热系统更能保障机器的工作性能始终优良；</w:t>
            </w:r>
          </w:p>
          <w:p w14:paraId="064291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8、外置高品质防撞、防水、防压航空箱</w:t>
            </w:r>
          </w:p>
        </w:tc>
      </w:tr>
      <w:tr w14:paraId="0EFE51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0DBB200">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2.13.</w:t>
            </w:r>
          </w:p>
        </w:tc>
        <w:tc>
          <w:tcPr>
            <w:tcW w:w="808" w:type="pct"/>
            <w:shd w:val="clear" w:color="auto" w:fill="auto"/>
            <w:vAlign w:val="center"/>
          </w:tcPr>
          <w:p w14:paraId="41ADFFF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雾油</w:t>
            </w:r>
          </w:p>
        </w:tc>
        <w:tc>
          <w:tcPr>
            <w:tcW w:w="3790" w:type="pct"/>
            <w:shd w:val="clear" w:color="auto" w:fill="auto"/>
            <w:vAlign w:val="center"/>
          </w:tcPr>
          <w:p w14:paraId="070A1F2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一箱4瓶</w:t>
            </w:r>
          </w:p>
        </w:tc>
      </w:tr>
      <w:tr w14:paraId="21900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630EF06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2.14.</w:t>
            </w:r>
          </w:p>
        </w:tc>
        <w:tc>
          <w:tcPr>
            <w:tcW w:w="808" w:type="pct"/>
            <w:shd w:val="clear" w:color="auto" w:fill="auto"/>
            <w:vAlign w:val="center"/>
          </w:tcPr>
          <w:p w14:paraId="292077F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灯钩</w:t>
            </w:r>
          </w:p>
        </w:tc>
        <w:tc>
          <w:tcPr>
            <w:tcW w:w="3790" w:type="pct"/>
            <w:shd w:val="clear" w:color="auto" w:fill="auto"/>
            <w:vAlign w:val="center"/>
          </w:tcPr>
          <w:p w14:paraId="4BD456B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与舞台灯光配套</w:t>
            </w:r>
          </w:p>
        </w:tc>
      </w:tr>
      <w:tr w14:paraId="29C9EA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34B1A8B">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2.15.</w:t>
            </w:r>
          </w:p>
        </w:tc>
        <w:tc>
          <w:tcPr>
            <w:tcW w:w="808" w:type="pct"/>
            <w:shd w:val="clear" w:color="auto" w:fill="auto"/>
            <w:vAlign w:val="center"/>
          </w:tcPr>
          <w:p w14:paraId="32291A4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保险绳</w:t>
            </w:r>
          </w:p>
        </w:tc>
        <w:tc>
          <w:tcPr>
            <w:tcW w:w="3790" w:type="pct"/>
            <w:shd w:val="clear" w:color="auto" w:fill="auto"/>
            <w:vAlign w:val="center"/>
          </w:tcPr>
          <w:p w14:paraId="63BE7C4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与舞台灯光配套</w:t>
            </w:r>
          </w:p>
        </w:tc>
      </w:tr>
      <w:tr w14:paraId="400052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78473FEC">
            <w:pPr>
              <w:widowControl/>
              <w:spacing w:line="276" w:lineRule="auto"/>
              <w:jc w:val="center"/>
              <w:rPr>
                <w:rFonts w:hint="eastAsia"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3</w:t>
            </w:r>
          </w:p>
        </w:tc>
        <w:tc>
          <w:tcPr>
            <w:tcW w:w="4598" w:type="pct"/>
            <w:gridSpan w:val="2"/>
            <w:shd w:val="clear" w:color="auto" w:fill="auto"/>
            <w:vAlign w:val="center"/>
          </w:tcPr>
          <w:p w14:paraId="3FC9DC5C">
            <w:pPr>
              <w:widowControl/>
              <w:spacing w:line="276" w:lineRule="auto"/>
              <w:rPr>
                <w:rFonts w:hint="eastAsia"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舞台机械系统</w:t>
            </w:r>
          </w:p>
        </w:tc>
      </w:tr>
      <w:tr w14:paraId="54463B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0CF7B5A0">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w:t>
            </w:r>
          </w:p>
        </w:tc>
        <w:tc>
          <w:tcPr>
            <w:tcW w:w="808" w:type="pct"/>
            <w:shd w:val="clear" w:color="auto" w:fill="auto"/>
            <w:vAlign w:val="center"/>
          </w:tcPr>
          <w:p w14:paraId="24CA35C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固定前檐吊杆</w:t>
            </w:r>
          </w:p>
        </w:tc>
        <w:tc>
          <w:tcPr>
            <w:tcW w:w="3790" w:type="pct"/>
            <w:shd w:val="clear" w:color="auto" w:fill="auto"/>
          </w:tcPr>
          <w:p w14:paraId="4B25918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技术参数：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长度：15m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主管：钢管 Φ48x3mm（单管）</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钢管桁架结构，多节焊接拼装</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黑色防锈面漆</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多节组合焊接，每段杆体黑色防锈面漆，两头管封。</w:t>
            </w:r>
          </w:p>
        </w:tc>
      </w:tr>
      <w:tr w14:paraId="57DAC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5315158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w:t>
            </w:r>
          </w:p>
        </w:tc>
        <w:tc>
          <w:tcPr>
            <w:tcW w:w="808" w:type="pct"/>
            <w:shd w:val="clear" w:color="auto" w:fill="auto"/>
            <w:vAlign w:val="center"/>
          </w:tcPr>
          <w:p w14:paraId="09C0BB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固定对开幕布吊杆</w:t>
            </w:r>
          </w:p>
        </w:tc>
        <w:tc>
          <w:tcPr>
            <w:tcW w:w="3790" w:type="pct"/>
            <w:shd w:val="clear" w:color="auto" w:fill="auto"/>
          </w:tcPr>
          <w:p w14:paraId="0E225E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技术参数：</w:t>
            </w:r>
          </w:p>
          <w:p w14:paraId="2CAC54E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长度：17m</w:t>
            </w:r>
          </w:p>
          <w:p w14:paraId="0AF4760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主管：钢管 Φ48x3mm（单管）</w:t>
            </w:r>
          </w:p>
          <w:p w14:paraId="1B5A55A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钢管桁架结构，多节焊接拼装</w:t>
            </w:r>
          </w:p>
          <w:p w14:paraId="3C21601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黑色防锈面漆</w:t>
            </w:r>
          </w:p>
          <w:p w14:paraId="7615EB6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多节组合焊接，每段杆体黑色防锈面漆，两头管封。</w:t>
            </w:r>
          </w:p>
        </w:tc>
      </w:tr>
      <w:tr w14:paraId="500DBF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297F497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3.3.</w:t>
            </w:r>
          </w:p>
        </w:tc>
        <w:tc>
          <w:tcPr>
            <w:tcW w:w="808" w:type="pct"/>
            <w:shd w:val="clear" w:color="auto" w:fill="auto"/>
            <w:vAlign w:val="center"/>
          </w:tcPr>
          <w:p w14:paraId="05397A6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固定顶光灯杆</w:t>
            </w:r>
          </w:p>
        </w:tc>
        <w:tc>
          <w:tcPr>
            <w:tcW w:w="3790" w:type="pct"/>
            <w:shd w:val="clear" w:color="auto" w:fill="auto"/>
          </w:tcPr>
          <w:p w14:paraId="31B2468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技术参数：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长度：15m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主管：钢管 Φ48x3mm（单管）</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钢管桁架结构，多节焊接拼装</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黑色防锈面漆</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多节组合焊接，每段杆体黑色防锈面漆，两头管封。</w:t>
            </w:r>
          </w:p>
        </w:tc>
      </w:tr>
      <w:tr w14:paraId="611E41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20EC77A4">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3.4.</w:t>
            </w:r>
          </w:p>
        </w:tc>
        <w:tc>
          <w:tcPr>
            <w:tcW w:w="808" w:type="pct"/>
            <w:shd w:val="clear" w:color="auto" w:fill="auto"/>
            <w:vAlign w:val="center"/>
          </w:tcPr>
          <w:p w14:paraId="48B0BD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固定面光杆</w:t>
            </w:r>
          </w:p>
        </w:tc>
        <w:tc>
          <w:tcPr>
            <w:tcW w:w="3790" w:type="pct"/>
            <w:shd w:val="clear" w:color="auto" w:fill="auto"/>
            <w:vAlign w:val="center"/>
          </w:tcPr>
          <w:p w14:paraId="5FD13EC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固定面光杆，不含面光桥，长度根据现场要求定制</w:t>
            </w:r>
          </w:p>
        </w:tc>
      </w:tr>
      <w:tr w14:paraId="6A1A39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0D088D9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3.5.</w:t>
            </w:r>
          </w:p>
        </w:tc>
        <w:tc>
          <w:tcPr>
            <w:tcW w:w="808" w:type="pct"/>
            <w:shd w:val="clear" w:color="auto" w:fill="auto"/>
            <w:vAlign w:val="center"/>
          </w:tcPr>
          <w:p w14:paraId="281BD30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固定侧光灯杆</w:t>
            </w:r>
          </w:p>
        </w:tc>
        <w:tc>
          <w:tcPr>
            <w:tcW w:w="3790" w:type="pct"/>
            <w:shd w:val="clear" w:color="auto" w:fill="auto"/>
          </w:tcPr>
          <w:p w14:paraId="0DA286C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技术参数：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长度：5m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主管：钢管 Φ48x3mm（单管）</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钢管桁架结构，多节焊接拼装</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黑色防锈面漆</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多节组合焊接，每段杆体黑色防锈面漆，两头管封。</w:t>
            </w:r>
          </w:p>
        </w:tc>
      </w:tr>
      <w:tr w14:paraId="19DAD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0" w:hRule="atLeast"/>
        </w:trPr>
        <w:tc>
          <w:tcPr>
            <w:tcW w:w="402" w:type="pct"/>
            <w:shd w:val="clear" w:color="auto" w:fill="auto"/>
            <w:vAlign w:val="center"/>
          </w:tcPr>
          <w:p w14:paraId="133A03C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3.6.</w:t>
            </w:r>
          </w:p>
        </w:tc>
        <w:tc>
          <w:tcPr>
            <w:tcW w:w="808" w:type="pct"/>
            <w:shd w:val="clear" w:color="auto" w:fill="auto"/>
            <w:vAlign w:val="center"/>
          </w:tcPr>
          <w:p w14:paraId="7F947B1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固定条幕吊杆</w:t>
            </w:r>
          </w:p>
        </w:tc>
        <w:tc>
          <w:tcPr>
            <w:tcW w:w="3790" w:type="pct"/>
            <w:shd w:val="clear" w:color="auto" w:fill="auto"/>
          </w:tcPr>
          <w:p w14:paraId="144DE5E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技术参数：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长度：17m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主管：钢管 Φ48x3mm（单管）</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钢管桁架结构，多节焊接拼装</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黑色防锈面漆</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多节组合焊接，每段杆体黑色防锈面漆，两头管封。</w:t>
            </w:r>
          </w:p>
        </w:tc>
      </w:tr>
      <w:tr w14:paraId="26756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95" w:hRule="atLeast"/>
        </w:trPr>
        <w:tc>
          <w:tcPr>
            <w:tcW w:w="402" w:type="pct"/>
            <w:shd w:val="clear" w:color="auto" w:fill="auto"/>
            <w:vAlign w:val="center"/>
          </w:tcPr>
          <w:p w14:paraId="3565F4D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3.7.</w:t>
            </w:r>
          </w:p>
        </w:tc>
        <w:tc>
          <w:tcPr>
            <w:tcW w:w="808" w:type="pct"/>
            <w:shd w:val="clear" w:color="auto" w:fill="auto"/>
            <w:vAlign w:val="center"/>
          </w:tcPr>
          <w:p w14:paraId="43ACBE6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电动大幕、底幕拉幕机</w:t>
            </w:r>
          </w:p>
        </w:tc>
        <w:tc>
          <w:tcPr>
            <w:tcW w:w="3790" w:type="pct"/>
            <w:shd w:val="clear" w:color="auto" w:fill="auto"/>
          </w:tcPr>
          <w:p w14:paraId="53E3E58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行程：8m</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速度：0.4M/S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动力：1.1KW  高科</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减速：rv63 航天</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载荷≥400Kg</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驱动：拽引驱动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噪音：＜45DB（A)</w:t>
            </w:r>
          </w:p>
        </w:tc>
      </w:tr>
      <w:tr w14:paraId="6F31F4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402" w:type="pct"/>
            <w:shd w:val="clear" w:color="auto" w:fill="auto"/>
            <w:vAlign w:val="center"/>
          </w:tcPr>
          <w:p w14:paraId="3315746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3.8.</w:t>
            </w:r>
          </w:p>
        </w:tc>
        <w:tc>
          <w:tcPr>
            <w:tcW w:w="808" w:type="pct"/>
            <w:shd w:val="clear" w:color="auto" w:fill="auto"/>
            <w:vAlign w:val="center"/>
          </w:tcPr>
          <w:p w14:paraId="3166E0E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固定承重钢结构</w:t>
            </w:r>
          </w:p>
        </w:tc>
        <w:tc>
          <w:tcPr>
            <w:tcW w:w="3790" w:type="pct"/>
            <w:shd w:val="clear" w:color="auto" w:fill="auto"/>
            <w:vAlign w:val="center"/>
          </w:tcPr>
          <w:p w14:paraId="5FD0D94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根据现场情况定制结构</w:t>
            </w:r>
          </w:p>
        </w:tc>
      </w:tr>
      <w:tr w14:paraId="102473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641E6C7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3.9.</w:t>
            </w:r>
          </w:p>
        </w:tc>
        <w:tc>
          <w:tcPr>
            <w:tcW w:w="808" w:type="pct"/>
            <w:shd w:val="clear" w:color="auto" w:fill="auto"/>
            <w:vAlign w:val="center"/>
          </w:tcPr>
          <w:p w14:paraId="757805C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机械控制系统</w:t>
            </w:r>
          </w:p>
        </w:tc>
        <w:tc>
          <w:tcPr>
            <w:tcW w:w="3790" w:type="pct"/>
            <w:shd w:val="clear" w:color="auto" w:fill="auto"/>
            <w:vAlign w:val="center"/>
          </w:tcPr>
          <w:p w14:paraId="7ADD68C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按钮式控台，可遥控</w:t>
            </w:r>
          </w:p>
        </w:tc>
      </w:tr>
      <w:tr w14:paraId="42DDD5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7B648D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3.10.</w:t>
            </w:r>
          </w:p>
        </w:tc>
        <w:tc>
          <w:tcPr>
            <w:tcW w:w="808" w:type="pct"/>
            <w:shd w:val="clear" w:color="auto" w:fill="auto"/>
            <w:vAlign w:val="center"/>
          </w:tcPr>
          <w:p w14:paraId="2158A6B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前檐幕</w:t>
            </w:r>
          </w:p>
        </w:tc>
        <w:tc>
          <w:tcPr>
            <w:tcW w:w="3790" w:type="pct"/>
            <w:shd w:val="clear" w:color="auto" w:fill="auto"/>
            <w:vAlign w:val="center"/>
          </w:tcPr>
          <w:p w14:paraId="76A2224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2EA2D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6786B54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3.11.</w:t>
            </w:r>
          </w:p>
        </w:tc>
        <w:tc>
          <w:tcPr>
            <w:tcW w:w="808" w:type="pct"/>
            <w:shd w:val="clear" w:color="auto" w:fill="auto"/>
            <w:vAlign w:val="center"/>
          </w:tcPr>
          <w:p w14:paraId="0896BB9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前檐幕衬里</w:t>
            </w:r>
          </w:p>
        </w:tc>
        <w:tc>
          <w:tcPr>
            <w:tcW w:w="3790" w:type="pct"/>
            <w:shd w:val="clear" w:color="auto" w:fill="auto"/>
            <w:vAlign w:val="center"/>
          </w:tcPr>
          <w:p w14:paraId="4B99E77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5A9E2B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6B97B1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3.12.</w:t>
            </w:r>
          </w:p>
        </w:tc>
        <w:tc>
          <w:tcPr>
            <w:tcW w:w="808" w:type="pct"/>
            <w:shd w:val="clear" w:color="auto" w:fill="auto"/>
            <w:vAlign w:val="center"/>
          </w:tcPr>
          <w:p w14:paraId="14C273F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对开大幕</w:t>
            </w:r>
          </w:p>
        </w:tc>
        <w:tc>
          <w:tcPr>
            <w:tcW w:w="3790" w:type="pct"/>
            <w:shd w:val="clear" w:color="auto" w:fill="auto"/>
            <w:vAlign w:val="center"/>
          </w:tcPr>
          <w:p w14:paraId="4EF1E4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792F6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BC3B57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3.13.</w:t>
            </w:r>
          </w:p>
        </w:tc>
        <w:tc>
          <w:tcPr>
            <w:tcW w:w="808" w:type="pct"/>
            <w:shd w:val="clear" w:color="auto" w:fill="auto"/>
            <w:vAlign w:val="center"/>
          </w:tcPr>
          <w:p w14:paraId="0D7CE84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对开大幕衬里</w:t>
            </w:r>
          </w:p>
        </w:tc>
        <w:tc>
          <w:tcPr>
            <w:tcW w:w="3790" w:type="pct"/>
            <w:shd w:val="clear" w:color="auto" w:fill="auto"/>
            <w:vAlign w:val="center"/>
          </w:tcPr>
          <w:p w14:paraId="412982C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685EB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35153E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3.14.</w:t>
            </w:r>
          </w:p>
        </w:tc>
        <w:tc>
          <w:tcPr>
            <w:tcW w:w="808" w:type="pct"/>
            <w:shd w:val="clear" w:color="auto" w:fill="auto"/>
            <w:vAlign w:val="center"/>
          </w:tcPr>
          <w:p w14:paraId="748F00A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对开二幕</w:t>
            </w:r>
          </w:p>
        </w:tc>
        <w:tc>
          <w:tcPr>
            <w:tcW w:w="3790" w:type="pct"/>
            <w:shd w:val="clear" w:color="auto" w:fill="auto"/>
            <w:vAlign w:val="center"/>
          </w:tcPr>
          <w:p w14:paraId="0205191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4D6805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1BCA23C4">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3.15.</w:t>
            </w:r>
          </w:p>
        </w:tc>
        <w:tc>
          <w:tcPr>
            <w:tcW w:w="808" w:type="pct"/>
            <w:shd w:val="clear" w:color="auto" w:fill="auto"/>
            <w:vAlign w:val="center"/>
          </w:tcPr>
          <w:p w14:paraId="6961ABE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对开二幕衬里</w:t>
            </w:r>
          </w:p>
        </w:tc>
        <w:tc>
          <w:tcPr>
            <w:tcW w:w="3790" w:type="pct"/>
            <w:shd w:val="clear" w:color="auto" w:fill="auto"/>
            <w:vAlign w:val="center"/>
          </w:tcPr>
          <w:p w14:paraId="62AD129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1709D6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D4B972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3.16.</w:t>
            </w:r>
          </w:p>
        </w:tc>
        <w:tc>
          <w:tcPr>
            <w:tcW w:w="808" w:type="pct"/>
            <w:shd w:val="clear" w:color="auto" w:fill="auto"/>
            <w:vAlign w:val="center"/>
          </w:tcPr>
          <w:p w14:paraId="7FE6D6E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对开底幕</w:t>
            </w:r>
          </w:p>
        </w:tc>
        <w:tc>
          <w:tcPr>
            <w:tcW w:w="3790" w:type="pct"/>
            <w:shd w:val="clear" w:color="auto" w:fill="auto"/>
            <w:vAlign w:val="center"/>
          </w:tcPr>
          <w:p w14:paraId="37C9AB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22CAA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2154D4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3.17.</w:t>
            </w:r>
          </w:p>
        </w:tc>
        <w:tc>
          <w:tcPr>
            <w:tcW w:w="808" w:type="pct"/>
            <w:shd w:val="clear" w:color="auto" w:fill="auto"/>
            <w:vAlign w:val="center"/>
          </w:tcPr>
          <w:p w14:paraId="6BEFADC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对开底幕衬里</w:t>
            </w:r>
          </w:p>
        </w:tc>
        <w:tc>
          <w:tcPr>
            <w:tcW w:w="3790" w:type="pct"/>
            <w:shd w:val="clear" w:color="auto" w:fill="auto"/>
            <w:vAlign w:val="center"/>
          </w:tcPr>
          <w:p w14:paraId="409EDA5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0EE1A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7078B6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3.18.</w:t>
            </w:r>
          </w:p>
        </w:tc>
        <w:tc>
          <w:tcPr>
            <w:tcW w:w="808" w:type="pct"/>
            <w:shd w:val="clear" w:color="auto" w:fill="auto"/>
            <w:vAlign w:val="center"/>
          </w:tcPr>
          <w:p w14:paraId="2576CED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横幕条</w:t>
            </w:r>
          </w:p>
        </w:tc>
        <w:tc>
          <w:tcPr>
            <w:tcW w:w="3790" w:type="pct"/>
            <w:shd w:val="clear" w:color="auto" w:fill="auto"/>
            <w:vAlign w:val="center"/>
          </w:tcPr>
          <w:p w14:paraId="7DEAA59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795E12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C38899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3.19.</w:t>
            </w:r>
          </w:p>
        </w:tc>
        <w:tc>
          <w:tcPr>
            <w:tcW w:w="808" w:type="pct"/>
            <w:shd w:val="clear" w:color="auto" w:fill="auto"/>
            <w:vAlign w:val="center"/>
          </w:tcPr>
          <w:p w14:paraId="09F5A3B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横幕条衬里</w:t>
            </w:r>
          </w:p>
        </w:tc>
        <w:tc>
          <w:tcPr>
            <w:tcW w:w="3790" w:type="pct"/>
            <w:shd w:val="clear" w:color="auto" w:fill="auto"/>
            <w:vAlign w:val="center"/>
          </w:tcPr>
          <w:p w14:paraId="2AD868B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131F23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E1FA9E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3.20.</w:t>
            </w:r>
          </w:p>
        </w:tc>
        <w:tc>
          <w:tcPr>
            <w:tcW w:w="808" w:type="pct"/>
            <w:shd w:val="clear" w:color="auto" w:fill="auto"/>
            <w:vAlign w:val="center"/>
          </w:tcPr>
          <w:p w14:paraId="45961CA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竖幕条（侧幕）</w:t>
            </w:r>
          </w:p>
        </w:tc>
        <w:tc>
          <w:tcPr>
            <w:tcW w:w="3790" w:type="pct"/>
            <w:shd w:val="clear" w:color="auto" w:fill="auto"/>
            <w:vAlign w:val="center"/>
          </w:tcPr>
          <w:p w14:paraId="3DDC013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金丝绒面料≥250克/平米、一米三折、防火阻燃B1级；颜色可选</w:t>
            </w:r>
          </w:p>
        </w:tc>
      </w:tr>
      <w:tr w14:paraId="078FB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EBBB9D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3.21.</w:t>
            </w:r>
          </w:p>
        </w:tc>
        <w:tc>
          <w:tcPr>
            <w:tcW w:w="808" w:type="pct"/>
            <w:shd w:val="clear" w:color="auto" w:fill="auto"/>
            <w:vAlign w:val="center"/>
          </w:tcPr>
          <w:p w14:paraId="1D3134B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竖幕条衬里</w:t>
            </w:r>
          </w:p>
        </w:tc>
        <w:tc>
          <w:tcPr>
            <w:tcW w:w="3790" w:type="pct"/>
            <w:shd w:val="clear" w:color="auto" w:fill="auto"/>
            <w:vAlign w:val="center"/>
          </w:tcPr>
          <w:p w14:paraId="19EB7FD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细帆布衬里：120克/平米,B1级防火阻燃处理</w:t>
            </w:r>
          </w:p>
        </w:tc>
      </w:tr>
      <w:tr w14:paraId="68D1DB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AE366D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3.22.</w:t>
            </w:r>
          </w:p>
        </w:tc>
        <w:tc>
          <w:tcPr>
            <w:tcW w:w="808" w:type="pct"/>
            <w:shd w:val="clear" w:color="auto" w:fill="auto"/>
            <w:vAlign w:val="center"/>
          </w:tcPr>
          <w:p w14:paraId="59311FC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高强静音舞台专用滑轮组</w:t>
            </w:r>
          </w:p>
        </w:tc>
        <w:tc>
          <w:tcPr>
            <w:tcW w:w="3790" w:type="pct"/>
            <w:shd w:val="clear" w:color="auto" w:fill="auto"/>
            <w:vAlign w:val="center"/>
          </w:tcPr>
          <w:p w14:paraId="26239C1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动滑轮，φ120</w:t>
            </w:r>
          </w:p>
        </w:tc>
      </w:tr>
      <w:tr w14:paraId="4D4D07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DAEC5E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3.23.</w:t>
            </w:r>
          </w:p>
        </w:tc>
        <w:tc>
          <w:tcPr>
            <w:tcW w:w="808" w:type="pct"/>
            <w:shd w:val="clear" w:color="auto" w:fill="auto"/>
            <w:vAlign w:val="center"/>
          </w:tcPr>
          <w:p w14:paraId="654CD89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航空钢丝绳</w:t>
            </w:r>
          </w:p>
        </w:tc>
        <w:tc>
          <w:tcPr>
            <w:tcW w:w="3790" w:type="pct"/>
            <w:shd w:val="clear" w:color="auto" w:fill="auto"/>
            <w:vAlign w:val="center"/>
          </w:tcPr>
          <w:p w14:paraId="3D5406F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国标4MM航空钢丝绳</w:t>
            </w:r>
          </w:p>
        </w:tc>
      </w:tr>
      <w:tr w14:paraId="579A4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7B35829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3.24.</w:t>
            </w:r>
          </w:p>
        </w:tc>
        <w:tc>
          <w:tcPr>
            <w:tcW w:w="808" w:type="pct"/>
            <w:shd w:val="clear" w:color="auto" w:fill="auto"/>
            <w:vAlign w:val="center"/>
          </w:tcPr>
          <w:p w14:paraId="323E826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电缆、控制电缆</w:t>
            </w:r>
          </w:p>
        </w:tc>
        <w:tc>
          <w:tcPr>
            <w:tcW w:w="3790" w:type="pct"/>
            <w:shd w:val="clear" w:color="auto" w:fill="auto"/>
            <w:vAlign w:val="center"/>
          </w:tcPr>
          <w:p w14:paraId="115770A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w:t>
            </w:r>
          </w:p>
        </w:tc>
      </w:tr>
      <w:tr w14:paraId="0BA7C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5" w:hRule="atLeast"/>
        </w:trPr>
        <w:tc>
          <w:tcPr>
            <w:tcW w:w="5000" w:type="pct"/>
            <w:gridSpan w:val="3"/>
            <w:shd w:val="clear" w:color="auto" w:fill="auto"/>
            <w:vAlign w:val="center"/>
          </w:tcPr>
          <w:p w14:paraId="7A0F986B">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二、阶梯教室音响系统</w:t>
            </w:r>
          </w:p>
        </w:tc>
      </w:tr>
      <w:tr w14:paraId="0C451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5" w:hRule="atLeast"/>
        </w:trPr>
        <w:tc>
          <w:tcPr>
            <w:tcW w:w="402" w:type="pct"/>
            <w:shd w:val="clear" w:color="auto" w:fill="auto"/>
            <w:vAlign w:val="center"/>
          </w:tcPr>
          <w:p w14:paraId="121CF56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808" w:type="pct"/>
            <w:shd w:val="clear" w:color="auto" w:fill="auto"/>
            <w:vAlign w:val="center"/>
          </w:tcPr>
          <w:p w14:paraId="09F8C97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32单元5寸有源DANTE阵列扬声器</w:t>
            </w:r>
          </w:p>
        </w:tc>
        <w:tc>
          <w:tcPr>
            <w:tcW w:w="3790" w:type="pct"/>
            <w:shd w:val="clear" w:color="auto" w:fill="auto"/>
          </w:tcPr>
          <w:p w14:paraId="7842BE6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有源DANTE扬声器技术参数：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产品种类：8 x 5”+32 x1”Dante有源阵列扬声器</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频率响应：应优于100 Hz ~ 19KHz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推荐功率:不小于1400W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指定频带内的声压级（峰值）：≥135dB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覆盖角：水平≥110</w:t>
            </w:r>
            <w:r>
              <w:rPr>
                <w:rFonts w:hint="eastAsia" w:ascii="Arial Unicode MS" w:hAnsi="Arial Unicode MS" w:eastAsia="Arial Unicode MS" w:cs="Arial Unicode MS"/>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 xml:space="preserve"> ，垂直 20-30</w:t>
            </w:r>
            <w:r>
              <w:rPr>
                <w:rFonts w:hint="eastAsia" w:ascii="Arial Unicode MS" w:hAnsi="Arial Unicode MS" w:eastAsia="Arial Unicode MS" w:cs="Arial Unicode MS"/>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 xml:space="preserve">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总谐波失真：≤1%</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使用模式：语言、音乐等多种模式选择</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接线方式：1路模拟输入&amp;输出，1路DANTE输入&amp;输出（2路RJ45），1路AES输入&amp;输出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安装配件：入墙架、吊装架（选配）</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功能测试：</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1.功放可通过网线和D-NETWARE系统管理软件等搭建的系统网络，设置软件参数,实时监控功放的工作状态，</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2.支持Dante(数字网络)输入通道：千兆高速光纤通道.</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3.软件能显示系统ID、名称、工作温度、电平增益、连接状态，监控包括温度和模块状态(Good、Fault).</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4.通过软件可以选择三种输入方式：Analog(模拟)输入，AES(数字音频)输入，Dante (数字网络)输入，可设置三种输入的优先级且相互备用。</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5.通过软件可设置: 8段输入EQ（均衡），8段输出EQ（均衡），LIMITER（压限），12,24,48dB 可选择Buterworth (巴特沃斯)，Basel (贝塞尔)，Linkwitz-Riley (切比雪夫)分频；输入可选择0至185ms延时，输出可选择0至185ms延时，所有输出通道可选择0或者180°相位。</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6.控制软件可以最大规划8个分区，把功放划分到相应的分区，便可通过软件统一设置分区里功放的参数</w:t>
            </w:r>
          </w:p>
        </w:tc>
      </w:tr>
      <w:tr w14:paraId="7ED80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95" w:hRule="atLeast"/>
        </w:trPr>
        <w:tc>
          <w:tcPr>
            <w:tcW w:w="402" w:type="pct"/>
            <w:shd w:val="clear" w:color="auto" w:fill="auto"/>
            <w:vAlign w:val="center"/>
          </w:tcPr>
          <w:p w14:paraId="3EAE8DB4">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808" w:type="pct"/>
            <w:shd w:val="clear" w:color="auto" w:fill="auto"/>
            <w:vAlign w:val="center"/>
          </w:tcPr>
          <w:p w14:paraId="3D15E5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6×3"无源全频扬声器（7单元）</w:t>
            </w:r>
          </w:p>
        </w:tc>
        <w:tc>
          <w:tcPr>
            <w:tcW w:w="3790" w:type="pct"/>
            <w:shd w:val="clear" w:color="auto" w:fill="auto"/>
          </w:tcPr>
          <w:p w14:paraId="58EDC46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产品类型：6×3"无源全频扬声器</w:t>
            </w:r>
          </w:p>
          <w:p w14:paraId="5FD6459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单元配置：6×3"全频单元+1"高音单元</w:t>
            </w:r>
          </w:p>
          <w:p w14:paraId="757119A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频率响应：优于90Hz-19kHz</w:t>
            </w:r>
          </w:p>
          <w:p w14:paraId="3D2CCB3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额定功率：≥180W</w:t>
            </w:r>
          </w:p>
          <w:p w14:paraId="47B4BD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灵敏度：97dB</w:t>
            </w:r>
          </w:p>
          <w:p w14:paraId="7277974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最大声压级：127dB (峰值)</w:t>
            </w:r>
          </w:p>
          <w:p w14:paraId="058E74B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标准阻抗：12Ω</w:t>
            </w:r>
          </w:p>
          <w:p w14:paraId="5E98387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指向性角度：水平≥100°，垂直40°-60°</w:t>
            </w:r>
          </w:p>
          <w:p w14:paraId="3262A46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总谐波失真：≤3%</w:t>
            </w:r>
          </w:p>
          <w:p w14:paraId="6796CC6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共振频率：≤80Hz</w:t>
            </w:r>
          </w:p>
          <w:p w14:paraId="050AFEE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吊装配件：入墙架</w:t>
            </w:r>
          </w:p>
        </w:tc>
      </w:tr>
      <w:tr w14:paraId="70D6D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5" w:hRule="atLeast"/>
        </w:trPr>
        <w:tc>
          <w:tcPr>
            <w:tcW w:w="402" w:type="pct"/>
            <w:shd w:val="clear" w:color="auto" w:fill="auto"/>
            <w:vAlign w:val="center"/>
          </w:tcPr>
          <w:p w14:paraId="6EEEE31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808" w:type="pct"/>
            <w:shd w:val="clear" w:color="auto" w:fill="auto"/>
            <w:vAlign w:val="center"/>
          </w:tcPr>
          <w:p w14:paraId="3EB6CAB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双通道开关电源功放</w:t>
            </w:r>
          </w:p>
        </w:tc>
        <w:tc>
          <w:tcPr>
            <w:tcW w:w="3790" w:type="pct"/>
            <w:shd w:val="clear" w:color="auto" w:fill="auto"/>
            <w:vAlign w:val="center"/>
          </w:tcPr>
          <w:p w14:paraId="272958A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产品类型：双通道开关电源功放；</w:t>
            </w:r>
          </w:p>
          <w:p w14:paraId="4F663F5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8欧姆功率：每通道不小于650w；</w:t>
            </w:r>
          </w:p>
          <w:p w14:paraId="32290D1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4欧姆功率：2x1000w;</w:t>
            </w:r>
          </w:p>
          <w:p w14:paraId="56853A5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连接功能：</w:t>
            </w:r>
            <w:r>
              <w:rPr>
                <w:rFonts w:ascii="仿宋" w:hAnsi="仿宋" w:eastAsia="仿宋" w:cs="宋体"/>
                <w:color w:val="000000" w:themeColor="text1"/>
                <w:kern w:val="0"/>
                <w:sz w:val="20"/>
                <w:szCs w:val="20"/>
                <w14:textFill>
                  <w14:solidFill>
                    <w14:schemeClr w14:val="tx1"/>
                  </w14:solidFill>
                </w14:textFill>
              </w:rPr>
              <w:t>支持XLR平衡式输入；SPEAKON音响插座输出</w:t>
            </w:r>
            <w:r>
              <w:rPr>
                <w:rFonts w:hint="eastAsia" w:ascii="仿宋" w:hAnsi="仿宋" w:eastAsia="仿宋" w:cs="宋体"/>
                <w:color w:val="000000" w:themeColor="text1"/>
                <w:kern w:val="0"/>
                <w:sz w:val="20"/>
                <w:szCs w:val="20"/>
                <w14:textFill>
                  <w14:solidFill>
                    <w14:schemeClr w14:val="tx1"/>
                  </w14:solidFill>
                </w14:textFill>
              </w:rPr>
              <w:t>。</w:t>
            </w:r>
          </w:p>
          <w:p w14:paraId="1028ADF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模式选择：多种灵敏度选择；具备桥接，并接和立体声输出三种使用模式；</w:t>
            </w:r>
          </w:p>
          <w:p w14:paraId="1FF75EB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面板有信号（绿）、削顶（橙）、保护指示灯（红）、电源指示灯（蓝）</w:t>
            </w:r>
          </w:p>
          <w:p w14:paraId="77C3761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总谐波失真：≤0.1%（1KHz/8欧）</w:t>
            </w:r>
          </w:p>
        </w:tc>
      </w:tr>
      <w:tr w14:paraId="586CC5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2" w:type="pct"/>
            <w:shd w:val="clear" w:color="auto" w:fill="auto"/>
            <w:vAlign w:val="center"/>
          </w:tcPr>
          <w:p w14:paraId="39C21ECB">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808" w:type="pct"/>
            <w:shd w:val="clear" w:color="auto" w:fill="auto"/>
            <w:vAlign w:val="center"/>
          </w:tcPr>
          <w:p w14:paraId="5881143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4x8 FIR数字扬声器处理器</w:t>
            </w:r>
          </w:p>
        </w:tc>
        <w:tc>
          <w:tcPr>
            <w:tcW w:w="3790" w:type="pct"/>
            <w:shd w:val="clear" w:color="auto" w:fill="auto"/>
            <w:vAlign w:val="center"/>
          </w:tcPr>
          <w:p w14:paraId="0B9392A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产品类别：四进八出FIR数字扬声器处理器</w:t>
            </w:r>
          </w:p>
          <w:p w14:paraId="1599EBB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设备功能：</w:t>
            </w:r>
          </w:p>
          <w:p w14:paraId="2DDCAF5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1、功能特点:</w:t>
            </w:r>
          </w:p>
          <w:p w14:paraId="0A00450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4路模拟音频输入8路模拟音频输出；</w:t>
            </w:r>
          </w:p>
          <w:p w14:paraId="5243F3D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输入15段PEQ，输出10段PEQ，高低通滤波器</w:t>
            </w:r>
          </w:p>
          <w:p w14:paraId="4582F9A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标配DEQ动态均衡</w:t>
            </w:r>
          </w:p>
          <w:p w14:paraId="7F9B81F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支持动态均衡器</w:t>
            </w:r>
          </w:p>
          <w:p w14:paraId="6B9D4A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USB免驱自动连接软件，支持RS485中控控制，支持TCPIP有线控制</w:t>
            </w:r>
          </w:p>
          <w:p w14:paraId="2A7206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支持多台机器组网联调，远程监控</w:t>
            </w:r>
          </w:p>
          <w:p w14:paraId="0FD6AC0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2、技术参数：</w:t>
            </w:r>
          </w:p>
          <w:p w14:paraId="19CD299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最大输出电平: 20dBu</w:t>
            </w:r>
          </w:p>
          <w:p w14:paraId="131B8BF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最大输入电平: 20dBu</w:t>
            </w:r>
          </w:p>
          <w:p w14:paraId="73DF09A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频响曲线: 20Hz-20kHz(±0.5dB)</w:t>
            </w:r>
          </w:p>
          <w:p w14:paraId="1EAB54C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信噪比(A计权): ≥ 112dB</w:t>
            </w:r>
          </w:p>
          <w:p w14:paraId="462243E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总谐波失真：≤0.01%</w:t>
            </w:r>
          </w:p>
        </w:tc>
      </w:tr>
      <w:tr w14:paraId="62B4B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24" w:hRule="atLeast"/>
        </w:trPr>
        <w:tc>
          <w:tcPr>
            <w:tcW w:w="402" w:type="pct"/>
            <w:shd w:val="clear" w:color="auto" w:fill="auto"/>
            <w:vAlign w:val="center"/>
          </w:tcPr>
          <w:p w14:paraId="1A5C91E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808" w:type="pct"/>
            <w:shd w:val="clear" w:color="auto" w:fill="auto"/>
            <w:vAlign w:val="center"/>
          </w:tcPr>
          <w:p w14:paraId="71409DE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30路数字调音台</w:t>
            </w:r>
          </w:p>
        </w:tc>
        <w:tc>
          <w:tcPr>
            <w:tcW w:w="3790" w:type="pct"/>
            <w:shd w:val="clear" w:color="auto" w:fill="auto"/>
            <w:vAlign w:val="center"/>
          </w:tcPr>
          <w:p w14:paraId="01250C7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系统特点：</w:t>
            </w:r>
          </w:p>
          <w:p w14:paraId="0CDF183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操作界面与接口箱分离</w:t>
            </w:r>
          </w:p>
          <w:p w14:paraId="140DD01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不小于10寸高清触控显示</w:t>
            </w:r>
          </w:p>
          <w:p w14:paraId="1C99E5A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支持不少于64路信号输入，36路输出信号处理能力</w:t>
            </w:r>
          </w:p>
          <w:p w14:paraId="2BF6170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本地不少于24路MIC&amp;LINE模拟信号输入，不少于4路数字信号输入</w:t>
            </w:r>
          </w:p>
          <w:p w14:paraId="450174F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本地不少于16路模拟LINE信号输出</w:t>
            </w:r>
          </w:p>
          <w:p w14:paraId="3D9AA37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本地带AES输入输出，同时支持Dante:可选配Dante版卡，实现Dante信号的输入输出，支持多轨录音</w:t>
            </w:r>
          </w:p>
          <w:p w14:paraId="50AED04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支持双机同步数据备份</w:t>
            </w:r>
          </w:p>
          <w:p w14:paraId="06E5C9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总谐波失真：≤0.01%</w:t>
            </w:r>
          </w:p>
          <w:p w14:paraId="7EC6E91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信噪比：≥106dB</w:t>
            </w:r>
          </w:p>
        </w:tc>
      </w:tr>
      <w:tr w14:paraId="22AB8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5" w:hRule="atLeast"/>
        </w:trPr>
        <w:tc>
          <w:tcPr>
            <w:tcW w:w="402" w:type="pct"/>
            <w:shd w:val="clear" w:color="auto" w:fill="auto"/>
            <w:vAlign w:val="center"/>
          </w:tcPr>
          <w:p w14:paraId="3A23FEF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808" w:type="pct"/>
            <w:shd w:val="clear" w:color="auto" w:fill="auto"/>
            <w:vAlign w:val="center"/>
          </w:tcPr>
          <w:p w14:paraId="0B655D8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专业声卡</w:t>
            </w:r>
          </w:p>
        </w:tc>
        <w:tc>
          <w:tcPr>
            <w:tcW w:w="3790" w:type="pct"/>
            <w:shd w:val="clear" w:color="auto" w:fill="auto"/>
          </w:tcPr>
          <w:p w14:paraId="73D9F0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2进/2出的USB音频接口</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精密调控旋钮</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低噪音话简前置话放：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高清指示灯显示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震撼、细腻的声音有着丰富的细节</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坚固金属外壳，小巧便携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吉他和其他乐器高阻抗源的Hi-Z输入</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24-bit/192kHz采样率能为</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广泛屏蔽的低噪音设计，高保真音质</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录音清晰和高精密度</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高性能转换器，支持录音、</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支持Type-C接口与PC/IOS兼容</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混音和播放音频</w:t>
            </w:r>
          </w:p>
        </w:tc>
      </w:tr>
      <w:tr w14:paraId="443EBE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0" w:hRule="atLeast"/>
        </w:trPr>
        <w:tc>
          <w:tcPr>
            <w:tcW w:w="402" w:type="pct"/>
            <w:shd w:val="clear" w:color="auto" w:fill="auto"/>
            <w:vAlign w:val="center"/>
          </w:tcPr>
          <w:p w14:paraId="2EE0DF2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808" w:type="pct"/>
            <w:shd w:val="clear" w:color="auto" w:fill="auto"/>
            <w:vAlign w:val="center"/>
          </w:tcPr>
          <w:p w14:paraId="247B845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无线会议系统主机</w:t>
            </w:r>
          </w:p>
        </w:tc>
        <w:tc>
          <w:tcPr>
            <w:tcW w:w="3790" w:type="pct"/>
            <w:shd w:val="clear" w:color="auto" w:fill="auto"/>
            <w:vAlign w:val="center"/>
          </w:tcPr>
          <w:p w14:paraId="304BE49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主控机与会议系统单元的数字控制及声音信号采用同一电缆传送（六芯）也可无线接收，可独立运作或外接电脑结合软件同步联动操作，脱离电脑时可具有下列几个功能：会议讨论、表决/选举/评议，系统具有高品质声音效果， 具三种会务管理模式：开放模式（FREE）、先进先出（FIFO）、限制发言（LIMIT）， 可直接选择显示文字种类功中文简体/英文，</w:t>
            </w:r>
            <w:r>
              <w:rPr>
                <w:rFonts w:ascii="仿宋" w:hAnsi="仿宋" w:eastAsia="仿宋" w:cs="宋体"/>
                <w:color w:val="000000" w:themeColor="text1"/>
                <w:kern w:val="0"/>
                <w:sz w:val="20"/>
                <w:szCs w:val="20"/>
                <w14:textFill>
                  <w14:solidFill>
                    <w14:schemeClr w14:val="tx1"/>
                  </w14:solidFill>
                </w14:textFill>
              </w:rPr>
              <w:t>支持自定义会议话筒身份功能，可根据现场需要定义为主席单元或代表单元或“VIP”单元</w:t>
            </w:r>
            <w:r>
              <w:rPr>
                <w:rFonts w:hint="eastAsia" w:ascii="仿宋" w:hAnsi="仿宋" w:eastAsia="仿宋" w:cs="宋体"/>
                <w:color w:val="000000" w:themeColor="text1"/>
                <w:kern w:val="0"/>
                <w:sz w:val="20"/>
                <w:szCs w:val="20"/>
                <w14:textFill>
                  <w14:solidFill>
                    <w14:schemeClr w14:val="tx1"/>
                  </w14:solidFill>
                </w14:textFill>
              </w:rPr>
              <w:t>，一主机具四组主端子可连接50套会议单元。增加扩展设备可实现250台会议单元同时使用， 具一组音频讯号输入端子。可外接CD播放器等音源输入设备，具3组音频信号输出端子，可外接录音或音响设备，频率响应：100Hz—18KHz：总谐波失真：在100Hz—18KHz会议系统声音输出小于0.1%，</w:t>
            </w:r>
          </w:p>
          <w:p w14:paraId="6F9D267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具有RS232连接插座可外接电脑，与电脑连接使用时，可以通过电脑管理软件实现脱离电脑时的所有功能外，增加了指定发言、申请发言、主席专有、设定发言时间等功能，可安装于19寸的标准机柜中</w:t>
            </w:r>
          </w:p>
        </w:tc>
      </w:tr>
      <w:tr w14:paraId="4FFA3A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402" w:type="pct"/>
            <w:shd w:val="clear" w:color="auto" w:fill="auto"/>
            <w:vAlign w:val="center"/>
          </w:tcPr>
          <w:p w14:paraId="20BC733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808" w:type="pct"/>
            <w:shd w:val="clear" w:color="auto" w:fill="auto"/>
            <w:vAlign w:val="center"/>
          </w:tcPr>
          <w:p w14:paraId="287DACB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无线主席发言单元</w:t>
            </w:r>
          </w:p>
        </w:tc>
        <w:tc>
          <w:tcPr>
            <w:tcW w:w="3790" w:type="pct"/>
            <w:shd w:val="clear" w:color="auto" w:fill="auto"/>
            <w:vAlign w:val="center"/>
          </w:tcPr>
          <w:p w14:paraId="4C6B62C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611B152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508B3E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4C0BAA9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23A7B31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6FBD901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47EA3F1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390E241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4EAF84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5A98B85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10、认证换能方式：电容式</w:t>
            </w:r>
          </w:p>
        </w:tc>
      </w:tr>
      <w:tr w14:paraId="4C2F65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86" w:hRule="atLeast"/>
        </w:trPr>
        <w:tc>
          <w:tcPr>
            <w:tcW w:w="402" w:type="pct"/>
            <w:shd w:val="clear" w:color="auto" w:fill="auto"/>
            <w:vAlign w:val="center"/>
          </w:tcPr>
          <w:p w14:paraId="525BE353">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808" w:type="pct"/>
            <w:shd w:val="clear" w:color="auto" w:fill="auto"/>
            <w:vAlign w:val="center"/>
          </w:tcPr>
          <w:p w14:paraId="5CD7B8B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无线代表发言单元</w:t>
            </w:r>
          </w:p>
        </w:tc>
        <w:tc>
          <w:tcPr>
            <w:tcW w:w="3790" w:type="pct"/>
            <w:shd w:val="clear" w:color="auto" w:fill="auto"/>
            <w:vAlign w:val="center"/>
          </w:tcPr>
          <w:p w14:paraId="032C7BA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7BA96B3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08B9123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4AC6CC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4D379FF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0E678F5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12D4CF5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5E6DDE6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2179666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77E5B02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10、认证换能方式：电容式 </w:t>
            </w:r>
          </w:p>
        </w:tc>
      </w:tr>
      <w:tr w14:paraId="65C41B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402" w:type="pct"/>
            <w:shd w:val="clear" w:color="auto" w:fill="auto"/>
            <w:vAlign w:val="center"/>
          </w:tcPr>
          <w:p w14:paraId="7667761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1.10.</w:t>
            </w:r>
          </w:p>
        </w:tc>
        <w:tc>
          <w:tcPr>
            <w:tcW w:w="808" w:type="pct"/>
            <w:shd w:val="clear" w:color="auto" w:fill="auto"/>
            <w:vAlign w:val="center"/>
          </w:tcPr>
          <w:p w14:paraId="08BD97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无线话筒手持</w:t>
            </w:r>
          </w:p>
        </w:tc>
        <w:tc>
          <w:tcPr>
            <w:tcW w:w="3790" w:type="pct"/>
            <w:shd w:val="clear" w:color="auto" w:fill="auto"/>
            <w:vAlign w:val="center"/>
          </w:tcPr>
          <w:p w14:paraId="17D1333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接收机参数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无线接收机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载波频段：UHF </w:t>
            </w:r>
            <w:r>
              <w:rPr>
                <w:rFonts w:ascii="仿宋" w:hAnsi="仿宋" w:eastAsia="仿宋" w:cs="宋体"/>
                <w:color w:val="000000" w:themeColor="text1"/>
                <w:kern w:val="0"/>
                <w:sz w:val="20"/>
                <w:szCs w:val="20"/>
                <w14:textFill>
                  <w14:solidFill>
                    <w14:schemeClr w14:val="tx1"/>
                  </w14:solidFill>
                </w14:textFill>
              </w:rPr>
              <w:t>470MHz-510MHz、540MHz-590MHz、640MHz-690MHz、807MHz-830MHz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调制方式：宽带FM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通道数：双通道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灵敏度：在偏移度等于25kHz，输入6dBv时，S/N&gt;60dB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频带宽度：30MHz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最大偏移度：±45kHZ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音频频率响应：45Hz～18kHz(±3dB)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综合信噪比：&gt;105dB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综合失真：&lt;0.7％@1KHz。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工作距离：&lt;300米(在理想环境的情况下)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工作环境温度：-10~50</w:t>
            </w:r>
          </w:p>
        </w:tc>
      </w:tr>
      <w:tr w14:paraId="628F00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402" w:type="pct"/>
            <w:shd w:val="clear" w:color="auto" w:fill="auto"/>
            <w:vAlign w:val="center"/>
          </w:tcPr>
          <w:p w14:paraId="2C256EBE">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1.11.</w:t>
            </w:r>
          </w:p>
        </w:tc>
        <w:tc>
          <w:tcPr>
            <w:tcW w:w="808" w:type="pct"/>
            <w:shd w:val="clear" w:color="auto" w:fill="auto"/>
            <w:vAlign w:val="center"/>
          </w:tcPr>
          <w:p w14:paraId="23295DC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八路大功率中控滤波电源时序器</w:t>
            </w:r>
          </w:p>
        </w:tc>
        <w:tc>
          <w:tcPr>
            <w:tcW w:w="3790" w:type="pct"/>
            <w:shd w:val="clear" w:color="auto" w:fill="auto"/>
          </w:tcPr>
          <w:p w14:paraId="1D88C9F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八路受控电源时序器  </w:t>
            </w:r>
          </w:p>
          <w:p w14:paraId="2218DC8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1、最大输入电流： ≥30A；</w:t>
            </w:r>
          </w:p>
          <w:p w14:paraId="1A0267E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2、单路最大输出电流：16A；</w:t>
            </w:r>
          </w:p>
          <w:p w14:paraId="29338AB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3、后面板 8 个受控万用插座；</w:t>
            </w:r>
          </w:p>
          <w:p w14:paraId="0750B5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4、可顺序开机，逆序关机；</w:t>
            </w:r>
          </w:p>
          <w:p w14:paraId="34FBDC9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5、每通道可进行中控网络控制，且可支持8台级联；</w:t>
            </w:r>
          </w:p>
          <w:p w14:paraId="08DA792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6、电容滤波器；  </w:t>
            </w:r>
          </w:p>
          <w:p w14:paraId="04BD9CA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7、电压显示。</w:t>
            </w:r>
          </w:p>
        </w:tc>
      </w:tr>
      <w:tr w14:paraId="044A91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02" w:type="pct"/>
            <w:shd w:val="clear" w:color="auto" w:fill="auto"/>
            <w:vAlign w:val="center"/>
          </w:tcPr>
          <w:p w14:paraId="3F05805B">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1.12.</w:t>
            </w:r>
          </w:p>
        </w:tc>
        <w:tc>
          <w:tcPr>
            <w:tcW w:w="808" w:type="pct"/>
            <w:shd w:val="clear" w:color="auto" w:fill="auto"/>
            <w:vAlign w:val="center"/>
          </w:tcPr>
          <w:p w14:paraId="530D441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42U机柜</w:t>
            </w:r>
          </w:p>
        </w:tc>
        <w:tc>
          <w:tcPr>
            <w:tcW w:w="3790" w:type="pct"/>
            <w:shd w:val="clear" w:color="auto" w:fill="auto"/>
            <w:vAlign w:val="center"/>
          </w:tcPr>
          <w:p w14:paraId="7E3A3A2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结构简单，操作安装方便，工艺精湛、尺寸精密，经济;</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可同时安装脚轮和支脚;</w:t>
            </w:r>
          </w:p>
        </w:tc>
      </w:tr>
      <w:tr w14:paraId="03FF7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38CA547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1.13.</w:t>
            </w:r>
          </w:p>
        </w:tc>
        <w:tc>
          <w:tcPr>
            <w:tcW w:w="808" w:type="pct"/>
            <w:shd w:val="clear" w:color="auto" w:fill="auto"/>
            <w:vAlign w:val="center"/>
          </w:tcPr>
          <w:p w14:paraId="063D87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话筒接口盒</w:t>
            </w:r>
          </w:p>
        </w:tc>
        <w:tc>
          <w:tcPr>
            <w:tcW w:w="3790" w:type="pct"/>
            <w:shd w:val="clear" w:color="auto" w:fill="auto"/>
            <w:vAlign w:val="center"/>
          </w:tcPr>
          <w:p w14:paraId="3D3A80A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按需定制</w:t>
            </w:r>
          </w:p>
        </w:tc>
      </w:tr>
      <w:tr w14:paraId="3971E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1F3FA5E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1.14.</w:t>
            </w:r>
          </w:p>
        </w:tc>
        <w:tc>
          <w:tcPr>
            <w:tcW w:w="808" w:type="pct"/>
            <w:shd w:val="clear" w:color="auto" w:fill="auto"/>
            <w:vAlign w:val="center"/>
          </w:tcPr>
          <w:p w14:paraId="380E09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音频线</w:t>
            </w:r>
          </w:p>
        </w:tc>
        <w:tc>
          <w:tcPr>
            <w:tcW w:w="3790" w:type="pct"/>
            <w:shd w:val="clear" w:color="auto" w:fill="auto"/>
            <w:vAlign w:val="center"/>
          </w:tcPr>
          <w:p w14:paraId="5C68C1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RVVP4*0.2mm2带屏蔽线</w:t>
            </w:r>
          </w:p>
        </w:tc>
      </w:tr>
      <w:tr w14:paraId="6C4BBA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777704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1.15.</w:t>
            </w:r>
          </w:p>
        </w:tc>
        <w:tc>
          <w:tcPr>
            <w:tcW w:w="808" w:type="pct"/>
            <w:shd w:val="clear" w:color="auto" w:fill="auto"/>
            <w:vAlign w:val="center"/>
          </w:tcPr>
          <w:p w14:paraId="20537E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扬声器线缆</w:t>
            </w:r>
          </w:p>
        </w:tc>
        <w:tc>
          <w:tcPr>
            <w:tcW w:w="3790" w:type="pct"/>
            <w:shd w:val="clear" w:color="auto" w:fill="auto"/>
            <w:vAlign w:val="center"/>
          </w:tcPr>
          <w:p w14:paraId="0DE8605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EVJE 2×2.5mm2</w:t>
            </w:r>
          </w:p>
        </w:tc>
      </w:tr>
      <w:tr w14:paraId="3497D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6D9BB67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1.16.</w:t>
            </w:r>
          </w:p>
        </w:tc>
        <w:tc>
          <w:tcPr>
            <w:tcW w:w="808" w:type="pct"/>
            <w:shd w:val="clear" w:color="auto" w:fill="auto"/>
            <w:vAlign w:val="center"/>
          </w:tcPr>
          <w:p w14:paraId="4955772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其它安装附材及安装配件</w:t>
            </w:r>
          </w:p>
        </w:tc>
        <w:tc>
          <w:tcPr>
            <w:tcW w:w="3790" w:type="pct"/>
            <w:shd w:val="clear" w:color="auto" w:fill="auto"/>
            <w:vAlign w:val="center"/>
          </w:tcPr>
          <w:p w14:paraId="602120C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定制</w:t>
            </w:r>
          </w:p>
        </w:tc>
      </w:tr>
      <w:tr w14:paraId="0934BF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5000" w:type="pct"/>
            <w:gridSpan w:val="3"/>
            <w:shd w:val="clear" w:color="auto" w:fill="auto"/>
            <w:vAlign w:val="center"/>
          </w:tcPr>
          <w:p w14:paraId="6FE207B9">
            <w:pPr>
              <w:widowControl/>
              <w:spacing w:line="276" w:lineRule="auto"/>
              <w:jc w:val="center"/>
              <w:rPr>
                <w:rFonts w:hint="eastAsia"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三、行政大会议室音响系统</w:t>
            </w:r>
          </w:p>
        </w:tc>
      </w:tr>
      <w:tr w14:paraId="4E5DF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402" w:type="pct"/>
            <w:shd w:val="clear" w:color="auto" w:fill="auto"/>
            <w:vAlign w:val="center"/>
          </w:tcPr>
          <w:p w14:paraId="4353140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808" w:type="pct"/>
            <w:shd w:val="clear" w:color="auto" w:fill="auto"/>
            <w:vAlign w:val="center"/>
          </w:tcPr>
          <w:p w14:paraId="3D9A4E0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12x8动态数字音频处理器（5A算法）</w:t>
            </w:r>
          </w:p>
        </w:tc>
        <w:tc>
          <w:tcPr>
            <w:tcW w:w="3790" w:type="pct"/>
            <w:shd w:val="clear" w:color="auto" w:fill="auto"/>
          </w:tcPr>
          <w:p w14:paraId="7776E32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产品类型：动态数字音频处理器（5A算法）</w:t>
            </w:r>
          </w:p>
          <w:p w14:paraId="6555228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拥有≥12通道输入，≥8通道输出。</w:t>
            </w:r>
          </w:p>
          <w:p w14:paraId="50D03F9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采用业界领先ADI芯片，最高工作频率可达≥450MHz; </w:t>
            </w:r>
          </w:p>
          <w:p w14:paraId="1A7B017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≥12通道模拟输入,≥8通道模拟输出；</w:t>
            </w:r>
          </w:p>
          <w:p w14:paraId="4ED3CE2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每通道独立的自适应反馈抑制，自动发现反馈点，并自动抑制AFC;</w:t>
            </w:r>
          </w:p>
          <w:p w14:paraId="76F2E18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双通道总线回声消除(AEC)，噪声抑制（ANS);</w:t>
            </w:r>
          </w:p>
          <w:p w14:paraId="19D1E8A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增益共享自动混音(AMC)；</w:t>
            </w:r>
          </w:p>
          <w:p w14:paraId="5DE0972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自动增益(AGC);</w:t>
            </w:r>
          </w:p>
          <w:p w14:paraId="6E286F9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全功能矩阵混音，输入混音电平可调节；</w:t>
            </w:r>
          </w:p>
          <w:p w14:paraId="3821D10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不少于16组预设，每个预设独立工作;</w:t>
            </w:r>
          </w:p>
          <w:p w14:paraId="6B74CC3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支持通道拷贝、LINK和分组功能；</w:t>
            </w:r>
          </w:p>
          <w:p w14:paraId="6A21526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支持RS232中控和UDP中控，UDP端口可自由设定，控制软件可查看控制代码；</w:t>
            </w:r>
          </w:p>
          <w:p w14:paraId="2920BF2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选配1种类型墙面板，均可软件编程;</w:t>
            </w:r>
          </w:p>
          <w:p w14:paraId="09CDF5B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除模拟音频输入输出凤凰插接口外，接口类型及数量不少于：RS232*1、RS485*1、RJ45*1，GPIO*8、USB*1。</w:t>
            </w:r>
          </w:p>
          <w:p w14:paraId="7C7529D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总谐波失真：≤0.1%（额定条件0dB 1KHz）</w:t>
            </w:r>
          </w:p>
          <w:p w14:paraId="086D7BB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信噪比：≥100dB(额定条件1KHz 0.5%)</w:t>
            </w:r>
          </w:p>
        </w:tc>
      </w:tr>
      <w:tr w14:paraId="0F4EC8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402" w:type="pct"/>
            <w:shd w:val="clear" w:color="auto" w:fill="auto"/>
            <w:vAlign w:val="center"/>
          </w:tcPr>
          <w:p w14:paraId="67225C3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808" w:type="pct"/>
            <w:shd w:val="clear" w:color="auto" w:fill="auto"/>
            <w:vAlign w:val="center"/>
          </w:tcPr>
          <w:p w14:paraId="38F67A1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3.5寸触控屏</w:t>
            </w:r>
          </w:p>
        </w:tc>
        <w:tc>
          <w:tcPr>
            <w:tcW w:w="3790" w:type="pct"/>
            <w:shd w:val="clear" w:color="auto" w:fill="auto"/>
          </w:tcPr>
          <w:p w14:paraId="6437822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1.≥3.5寸电阻触摸屏，连接到处理器的RS485接口；</w:t>
            </w:r>
          </w:p>
          <w:p w14:paraId="3797A9F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2.支持≥8路通道的静音、音量调节及场景切换功能；</w:t>
            </w:r>
          </w:p>
          <w:p w14:paraId="1694BDF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3.分辨率 320*240 </w:t>
            </w:r>
          </w:p>
          <w:p w14:paraId="65276BA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4.颜色 64K色，16位RGB</w:t>
            </w:r>
          </w:p>
          <w:p w14:paraId="3B09911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5.通讯接口 RS485或工业标准接线端子</w:t>
            </w:r>
          </w:p>
        </w:tc>
      </w:tr>
      <w:tr w14:paraId="43BCF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0" w:hRule="atLeast"/>
        </w:trPr>
        <w:tc>
          <w:tcPr>
            <w:tcW w:w="402" w:type="pct"/>
            <w:shd w:val="clear" w:color="auto" w:fill="auto"/>
            <w:vAlign w:val="center"/>
          </w:tcPr>
          <w:p w14:paraId="2A423A8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808" w:type="pct"/>
            <w:shd w:val="clear" w:color="auto" w:fill="auto"/>
            <w:vAlign w:val="center"/>
          </w:tcPr>
          <w:p w14:paraId="1B8E75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12×3"无源全频扬声器（13单元）</w:t>
            </w:r>
          </w:p>
        </w:tc>
        <w:tc>
          <w:tcPr>
            <w:tcW w:w="3790" w:type="pct"/>
            <w:shd w:val="clear" w:color="auto" w:fill="auto"/>
          </w:tcPr>
          <w:p w14:paraId="200B36A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产品类型：12×3"无源全频扬声器</w:t>
            </w:r>
          </w:p>
          <w:p w14:paraId="283CDE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单元配置：12×3"全频单元+1.7"高音单元</w:t>
            </w:r>
          </w:p>
          <w:p w14:paraId="656D33E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频率响应：优于120Hz-20kHz</w:t>
            </w:r>
          </w:p>
          <w:p w14:paraId="4A9EBB9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额定功率：≥360W</w:t>
            </w:r>
          </w:p>
          <w:p w14:paraId="312438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最大声压级：130dB (峰值)</w:t>
            </w:r>
          </w:p>
          <w:p w14:paraId="36E27E2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标准阻抗：6Ω</w:t>
            </w:r>
          </w:p>
          <w:p w14:paraId="7F9187E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指向性角度：水平≥100</w:t>
            </w:r>
            <w:r>
              <w:rPr>
                <w:rFonts w:hint="eastAsia" w:ascii="Arial Unicode MS" w:hAnsi="Arial Unicode MS" w:eastAsia="Arial Unicode MS" w:cs="Arial Unicode MS"/>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t>，垂直40°-60°</w:t>
            </w:r>
          </w:p>
          <w:p w14:paraId="04364E3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总谐波失真：≤3%</w:t>
            </w:r>
          </w:p>
          <w:p w14:paraId="05EE5EB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共振频率：≤95Hz</w:t>
            </w:r>
          </w:p>
          <w:p w14:paraId="65651B2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接线方式：1×凤凰插、1×Speakon 接头或接线柱</w:t>
            </w:r>
          </w:p>
          <w:p w14:paraId="1EE28FC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吊装配件：入墙架</w:t>
            </w:r>
          </w:p>
        </w:tc>
      </w:tr>
      <w:tr w14:paraId="7A506A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402" w:type="pct"/>
            <w:shd w:val="clear" w:color="auto" w:fill="auto"/>
            <w:vAlign w:val="center"/>
          </w:tcPr>
          <w:p w14:paraId="2E7BFA8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808" w:type="pct"/>
            <w:shd w:val="clear" w:color="auto" w:fill="auto"/>
            <w:vAlign w:val="center"/>
          </w:tcPr>
          <w:p w14:paraId="2C49A54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6寸天花扬声器(HiFi)</w:t>
            </w:r>
          </w:p>
        </w:tc>
        <w:tc>
          <w:tcPr>
            <w:tcW w:w="3790" w:type="pct"/>
            <w:shd w:val="clear" w:color="auto" w:fill="auto"/>
          </w:tcPr>
          <w:p w14:paraId="49153B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产品类型：6寸二分频吸顶扬声器</w:t>
            </w:r>
          </w:p>
          <w:p w14:paraId="1828784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单元配置：6"(160mm)单元 ，1"高音</w:t>
            </w:r>
          </w:p>
          <w:p w14:paraId="4272622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频率范围：优于85Hz-18kHz</w:t>
            </w:r>
          </w:p>
          <w:p w14:paraId="65CB83B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额定功率：≥50W</w:t>
            </w:r>
          </w:p>
          <w:p w14:paraId="7B29619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最大声压级SPL：112dB</w:t>
            </w:r>
          </w:p>
          <w:p w14:paraId="38BDA99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灵敏度(1w/1m)：≥88dB </w:t>
            </w:r>
          </w:p>
          <w:p w14:paraId="0203963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总谐波失真：≤3%</w:t>
            </w:r>
          </w:p>
          <w:p w14:paraId="1BD04B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共振频率：≤95Hz</w:t>
            </w:r>
          </w:p>
          <w:p w14:paraId="0C489B9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覆盖角度：100°x100°</w:t>
            </w:r>
          </w:p>
        </w:tc>
      </w:tr>
      <w:tr w14:paraId="3BCEF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30" w:hRule="atLeast"/>
        </w:trPr>
        <w:tc>
          <w:tcPr>
            <w:tcW w:w="402" w:type="pct"/>
            <w:shd w:val="clear" w:color="auto" w:fill="auto"/>
            <w:vAlign w:val="center"/>
          </w:tcPr>
          <w:p w14:paraId="0CFD460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808" w:type="pct"/>
            <w:shd w:val="clear" w:color="auto" w:fill="auto"/>
            <w:vAlign w:val="center"/>
          </w:tcPr>
          <w:p w14:paraId="6B5A45B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双通道开关电源功放</w:t>
            </w:r>
          </w:p>
        </w:tc>
        <w:tc>
          <w:tcPr>
            <w:tcW w:w="3790" w:type="pct"/>
            <w:shd w:val="clear" w:color="auto" w:fill="auto"/>
            <w:vAlign w:val="center"/>
          </w:tcPr>
          <w:p w14:paraId="5A785AB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产品类型：双通道开关电源功放；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8欧姆功率：每通道不小于650w；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4欧姆功率：2x1000w;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连接功能：</w:t>
            </w:r>
            <w:r>
              <w:rPr>
                <w:rFonts w:ascii="仿宋" w:hAnsi="仿宋" w:eastAsia="仿宋" w:cs="宋体"/>
                <w:color w:val="000000" w:themeColor="text1"/>
                <w:kern w:val="0"/>
                <w:sz w:val="20"/>
                <w:szCs w:val="20"/>
                <w14:textFill>
                  <w14:solidFill>
                    <w14:schemeClr w14:val="tx1"/>
                  </w14:solidFill>
                </w14:textFill>
              </w:rPr>
              <w:t>支持XLR平衡式输入/XLR 平衡式LINK输出；SPEAKON音响插座输出</w:t>
            </w:r>
            <w:r>
              <w:rPr>
                <w:rFonts w:hint="eastAsia" w:ascii="仿宋" w:hAnsi="仿宋" w:eastAsia="仿宋" w:cs="宋体"/>
                <w:color w:val="000000" w:themeColor="text1"/>
                <w:kern w:val="0"/>
                <w:sz w:val="20"/>
                <w:szCs w:val="20"/>
                <w14:textFill>
                  <w14:solidFill>
                    <w14:schemeClr w14:val="tx1"/>
                  </w14:solidFill>
                </w14:textFill>
              </w:rPr>
              <w:t>。</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模式选择：多种灵敏度选择；具备桥接，并接和立体声输出三种使用模式；</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总谐波失真：≤0.1%（1KHz/8欧）</w:t>
            </w:r>
          </w:p>
        </w:tc>
      </w:tr>
      <w:tr w14:paraId="6E3709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402" w:type="pct"/>
            <w:shd w:val="clear" w:color="auto" w:fill="auto"/>
            <w:vAlign w:val="center"/>
          </w:tcPr>
          <w:p w14:paraId="3CA3F099">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808" w:type="pct"/>
            <w:shd w:val="clear" w:color="auto" w:fill="auto"/>
            <w:vAlign w:val="center"/>
          </w:tcPr>
          <w:p w14:paraId="30C2BE9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数字功率放大器</w:t>
            </w:r>
          </w:p>
        </w:tc>
        <w:tc>
          <w:tcPr>
            <w:tcW w:w="3790" w:type="pct"/>
            <w:shd w:val="clear" w:color="auto" w:fill="auto"/>
          </w:tcPr>
          <w:p w14:paraId="6D94894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产品类型：四通道开关电源功放；</w:t>
            </w:r>
          </w:p>
          <w:p w14:paraId="126B73C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8欧姆功率：4个通道，每通道不小于250w；4欧姆功率：4x500w;</w:t>
            </w:r>
          </w:p>
          <w:p w14:paraId="64B30C5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总谐波失真：≤0.1%（1KHz/8欧）</w:t>
            </w:r>
          </w:p>
        </w:tc>
      </w:tr>
      <w:tr w14:paraId="00D74E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3" w:hRule="atLeast"/>
        </w:trPr>
        <w:tc>
          <w:tcPr>
            <w:tcW w:w="402" w:type="pct"/>
            <w:shd w:val="clear" w:color="auto" w:fill="auto"/>
            <w:vAlign w:val="center"/>
          </w:tcPr>
          <w:p w14:paraId="14B78A0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808" w:type="pct"/>
            <w:shd w:val="clear" w:color="auto" w:fill="auto"/>
            <w:vAlign w:val="center"/>
          </w:tcPr>
          <w:p w14:paraId="2E02979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无线会议系统主机</w:t>
            </w:r>
          </w:p>
        </w:tc>
        <w:tc>
          <w:tcPr>
            <w:tcW w:w="3790" w:type="pct"/>
            <w:shd w:val="clear" w:color="auto" w:fill="auto"/>
            <w:vAlign w:val="center"/>
          </w:tcPr>
          <w:p w14:paraId="6B012C0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主控机与会议系统单元的数字控制及声音信号采用同一电缆传送（六芯）也可无线接收，可独立运作或外接电脑结合软件同步联动操作，脱离电脑时可具有下列几个功能：会议讨论、表决/选举/评议，系统具有高品质声音效果， 具三种会务管理模式：开放模式（FREE）、先进先出（FIFO）、限制发言（LIMIT）， 可直接选择显示文字种类功中文简体/英文，</w:t>
            </w:r>
            <w:r>
              <w:rPr>
                <w:rFonts w:ascii="仿宋" w:hAnsi="仿宋" w:eastAsia="仿宋" w:cs="宋体"/>
                <w:color w:val="000000" w:themeColor="text1"/>
                <w:kern w:val="0"/>
                <w:sz w:val="20"/>
                <w:szCs w:val="20"/>
                <w14:textFill>
                  <w14:solidFill>
                    <w14:schemeClr w14:val="tx1"/>
                  </w14:solidFill>
                </w14:textFill>
              </w:rPr>
              <w:t>支持自定义会议话筒身份功能，可根据现场需要定义为主席单元或代表单元或“VIP”单元</w:t>
            </w:r>
            <w:r>
              <w:rPr>
                <w:rFonts w:hint="eastAsia" w:ascii="仿宋" w:hAnsi="仿宋" w:eastAsia="仿宋" w:cs="宋体"/>
                <w:color w:val="000000" w:themeColor="text1"/>
                <w:kern w:val="0"/>
                <w:sz w:val="20"/>
                <w:szCs w:val="20"/>
                <w14:textFill>
                  <w14:solidFill>
                    <w14:schemeClr w14:val="tx1"/>
                  </w14:solidFill>
                </w14:textFill>
              </w:rPr>
              <w:t>，一主机具四组主端子可连接50套会议单元。增加扩展设备可实现250台会议单元同时使用， 具一组音频讯号输入端子。可外接CD播放器等音源输入设备，具3组音频信号输出端子，可外接录音或音响设备，频率响应：100Hz—18KHz：总谐波失真：在100Hz—18KHz会议系统声音输出小于0.1%，</w:t>
            </w:r>
          </w:p>
          <w:p w14:paraId="4191A6C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具有RS232连接插座可外接电脑，与电脑连接使用时，可以通过电脑管理软件实现脱离电脑时的所有功能外，增加了指定发言、申请发言、主席专有、设定发言时间等功能，可安装于19寸的标准机柜中</w:t>
            </w:r>
          </w:p>
        </w:tc>
      </w:tr>
      <w:tr w14:paraId="49236F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0" w:hRule="atLeast"/>
        </w:trPr>
        <w:tc>
          <w:tcPr>
            <w:tcW w:w="402" w:type="pct"/>
            <w:shd w:val="clear" w:color="auto" w:fill="auto"/>
            <w:vAlign w:val="center"/>
          </w:tcPr>
          <w:p w14:paraId="69589A96">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808" w:type="pct"/>
            <w:shd w:val="clear" w:color="auto" w:fill="auto"/>
            <w:vAlign w:val="center"/>
          </w:tcPr>
          <w:p w14:paraId="2BD5FBC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无线主席发言单元</w:t>
            </w:r>
          </w:p>
        </w:tc>
        <w:tc>
          <w:tcPr>
            <w:tcW w:w="3790" w:type="pct"/>
            <w:shd w:val="clear" w:color="auto" w:fill="auto"/>
            <w:vAlign w:val="center"/>
          </w:tcPr>
          <w:p w14:paraId="714BD20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2C1BBC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1F580D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2E32F32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3BFB1D7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6705EE1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7026293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342D7F3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721EE6C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54BE1D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10、认证换能方式：电容式</w:t>
            </w:r>
          </w:p>
        </w:tc>
      </w:tr>
      <w:tr w14:paraId="6BC777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0" w:hRule="atLeast"/>
        </w:trPr>
        <w:tc>
          <w:tcPr>
            <w:tcW w:w="402" w:type="pct"/>
            <w:shd w:val="clear" w:color="auto" w:fill="auto"/>
            <w:vAlign w:val="center"/>
          </w:tcPr>
          <w:p w14:paraId="160153F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808" w:type="pct"/>
            <w:shd w:val="clear" w:color="auto" w:fill="auto"/>
            <w:vAlign w:val="center"/>
          </w:tcPr>
          <w:p w14:paraId="671F751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无线代表发言单元</w:t>
            </w:r>
          </w:p>
        </w:tc>
        <w:tc>
          <w:tcPr>
            <w:tcW w:w="3790" w:type="pct"/>
            <w:shd w:val="clear" w:color="auto" w:fill="auto"/>
            <w:vAlign w:val="center"/>
          </w:tcPr>
          <w:p w14:paraId="023770F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53E6E88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58C74F6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002B10E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0CE35E7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40F5DC5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293BF4B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3898D68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3040F54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572FDBB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10、认证换能方式：电容式 </w:t>
            </w:r>
          </w:p>
        </w:tc>
      </w:tr>
      <w:tr w14:paraId="7234CF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402" w:type="pct"/>
            <w:shd w:val="clear" w:color="auto" w:fill="auto"/>
            <w:vAlign w:val="center"/>
          </w:tcPr>
          <w:p w14:paraId="1423DDA4">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1.10.</w:t>
            </w:r>
          </w:p>
        </w:tc>
        <w:tc>
          <w:tcPr>
            <w:tcW w:w="808" w:type="pct"/>
            <w:shd w:val="clear" w:color="auto" w:fill="auto"/>
            <w:vAlign w:val="center"/>
          </w:tcPr>
          <w:p w14:paraId="4F06342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无线话筒手持</w:t>
            </w:r>
          </w:p>
        </w:tc>
        <w:tc>
          <w:tcPr>
            <w:tcW w:w="3790" w:type="pct"/>
            <w:shd w:val="clear" w:color="auto" w:fill="auto"/>
            <w:vAlign w:val="center"/>
          </w:tcPr>
          <w:p w14:paraId="7681068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接收机参数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无线接收机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载波频段：UHF </w:t>
            </w:r>
            <w:r>
              <w:rPr>
                <w:rFonts w:ascii="仿宋" w:hAnsi="仿宋" w:eastAsia="仿宋" w:cs="宋体"/>
                <w:color w:val="000000" w:themeColor="text1"/>
                <w:kern w:val="0"/>
                <w:sz w:val="20"/>
                <w:szCs w:val="20"/>
                <w14:textFill>
                  <w14:solidFill>
                    <w14:schemeClr w14:val="tx1"/>
                  </w14:solidFill>
                </w14:textFill>
              </w:rPr>
              <w:t>470MHz-510MHz、540MHz-590MHz、640MHz-690MHz、807MHz-830MHz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调制方式：宽带FM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通道数：双通道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灵敏度：在偏移度等于25kHz，输入6dBv时，S/N&gt;60dB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频带宽度：30MHz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最大偏移度：±45kHZ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音频频率响应：45Hz～18kHz(±3dB)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综合信噪比：&gt;105dB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综合失真：&lt;0.7％@1KHz。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工作距离：&lt;300米(在理想环境的情况下)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工作环境温度：-10~50</w:t>
            </w:r>
          </w:p>
        </w:tc>
      </w:tr>
      <w:tr w14:paraId="0482F3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5" w:hRule="atLeast"/>
        </w:trPr>
        <w:tc>
          <w:tcPr>
            <w:tcW w:w="402" w:type="pct"/>
            <w:shd w:val="clear" w:color="auto" w:fill="auto"/>
            <w:vAlign w:val="center"/>
          </w:tcPr>
          <w:p w14:paraId="622C42F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1.11.</w:t>
            </w:r>
          </w:p>
        </w:tc>
        <w:tc>
          <w:tcPr>
            <w:tcW w:w="808" w:type="pct"/>
            <w:shd w:val="clear" w:color="auto" w:fill="auto"/>
            <w:vAlign w:val="center"/>
          </w:tcPr>
          <w:p w14:paraId="379207C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无线话筒头戴</w:t>
            </w:r>
          </w:p>
        </w:tc>
        <w:tc>
          <w:tcPr>
            <w:tcW w:w="3790" w:type="pct"/>
            <w:shd w:val="clear" w:color="auto" w:fill="auto"/>
            <w:vAlign w:val="center"/>
          </w:tcPr>
          <w:p w14:paraId="6F3C328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手持发射器</w:t>
            </w:r>
          </w:p>
          <w:p w14:paraId="4710E6C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载波频段：UHF610～937MHZ</w:t>
            </w:r>
          </w:p>
          <w:p w14:paraId="3D9BE25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p>
          <w:p w14:paraId="16363B0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谐波幅射：&lt;65dBm </w:t>
            </w:r>
          </w:p>
          <w:p w14:paraId="589C8E9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最大偏移度：±45kHz</w:t>
            </w:r>
          </w:p>
          <w:p w14:paraId="052BBB3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频率响应；45Hz～18kHz(±3dB) </w:t>
            </w:r>
          </w:p>
          <w:p w14:paraId="31A6600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RF功率输出：10MW </w:t>
            </w:r>
          </w:p>
          <w:p w14:paraId="0421305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拾音头：动圈式 </w:t>
            </w:r>
          </w:p>
          <w:p w14:paraId="0BB052E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电池：AA×2 </w:t>
            </w:r>
          </w:p>
          <w:p w14:paraId="51031E1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电流消耗：≤100mA </w:t>
            </w:r>
          </w:p>
          <w:p w14:paraId="17DC860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连续工作时间：&gt;8小时</w:t>
            </w:r>
          </w:p>
        </w:tc>
      </w:tr>
      <w:tr w14:paraId="3A3518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A90F10C">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1.12.</w:t>
            </w:r>
          </w:p>
        </w:tc>
        <w:tc>
          <w:tcPr>
            <w:tcW w:w="808" w:type="pct"/>
            <w:shd w:val="clear" w:color="auto" w:fill="auto"/>
            <w:vAlign w:val="center"/>
          </w:tcPr>
          <w:p w14:paraId="59C9FC1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42U机柜</w:t>
            </w:r>
          </w:p>
        </w:tc>
        <w:tc>
          <w:tcPr>
            <w:tcW w:w="3790" w:type="pct"/>
            <w:shd w:val="clear" w:color="auto" w:fill="auto"/>
            <w:vAlign w:val="center"/>
          </w:tcPr>
          <w:p w14:paraId="01E0D13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结构简单，操作安装方便，工艺精湛、尺寸精密，经济;</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可同时安装脚轮和支脚;</w:t>
            </w:r>
          </w:p>
        </w:tc>
      </w:tr>
      <w:tr w14:paraId="2C578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241ABDD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1.13.</w:t>
            </w:r>
          </w:p>
        </w:tc>
        <w:tc>
          <w:tcPr>
            <w:tcW w:w="808" w:type="pct"/>
            <w:shd w:val="clear" w:color="auto" w:fill="auto"/>
            <w:vAlign w:val="center"/>
          </w:tcPr>
          <w:p w14:paraId="06890D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综合接口盒</w:t>
            </w:r>
          </w:p>
        </w:tc>
        <w:tc>
          <w:tcPr>
            <w:tcW w:w="3790" w:type="pct"/>
            <w:shd w:val="clear" w:color="auto" w:fill="auto"/>
            <w:vAlign w:val="center"/>
          </w:tcPr>
          <w:p w14:paraId="5FFD57C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按需定制</w:t>
            </w:r>
          </w:p>
        </w:tc>
      </w:tr>
      <w:tr w14:paraId="6AA6BC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1A839E2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1.14.</w:t>
            </w:r>
          </w:p>
        </w:tc>
        <w:tc>
          <w:tcPr>
            <w:tcW w:w="808" w:type="pct"/>
            <w:shd w:val="clear" w:color="auto" w:fill="auto"/>
            <w:vAlign w:val="center"/>
          </w:tcPr>
          <w:p w14:paraId="4CB04A7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音频线</w:t>
            </w:r>
          </w:p>
        </w:tc>
        <w:tc>
          <w:tcPr>
            <w:tcW w:w="3790" w:type="pct"/>
            <w:shd w:val="clear" w:color="auto" w:fill="auto"/>
            <w:vAlign w:val="center"/>
          </w:tcPr>
          <w:p w14:paraId="23BCCF0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RVVP4*0.2mm2带屏蔽线</w:t>
            </w:r>
          </w:p>
        </w:tc>
      </w:tr>
      <w:tr w14:paraId="57F90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2F2E010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1.15.</w:t>
            </w:r>
          </w:p>
        </w:tc>
        <w:tc>
          <w:tcPr>
            <w:tcW w:w="808" w:type="pct"/>
            <w:shd w:val="clear" w:color="auto" w:fill="auto"/>
            <w:vAlign w:val="center"/>
          </w:tcPr>
          <w:p w14:paraId="1BF47D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扬声器线缆</w:t>
            </w:r>
          </w:p>
        </w:tc>
        <w:tc>
          <w:tcPr>
            <w:tcW w:w="3790" w:type="pct"/>
            <w:shd w:val="clear" w:color="auto" w:fill="auto"/>
            <w:vAlign w:val="center"/>
          </w:tcPr>
          <w:p w14:paraId="1A59D35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EVJE 2×2.5mm2</w:t>
            </w:r>
          </w:p>
        </w:tc>
      </w:tr>
      <w:tr w14:paraId="496616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60A36F67">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1.16.</w:t>
            </w:r>
          </w:p>
        </w:tc>
        <w:tc>
          <w:tcPr>
            <w:tcW w:w="808" w:type="pct"/>
            <w:shd w:val="clear" w:color="auto" w:fill="auto"/>
            <w:vAlign w:val="center"/>
          </w:tcPr>
          <w:p w14:paraId="5E9BEE7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其它安装附材及安装配件</w:t>
            </w:r>
          </w:p>
        </w:tc>
        <w:tc>
          <w:tcPr>
            <w:tcW w:w="3790" w:type="pct"/>
            <w:shd w:val="clear" w:color="auto" w:fill="auto"/>
            <w:vAlign w:val="center"/>
          </w:tcPr>
          <w:p w14:paraId="6DC9B21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pvc线管 HDMI光纤线 备份线</w:t>
            </w:r>
          </w:p>
        </w:tc>
      </w:tr>
      <w:tr w14:paraId="2D51A3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trPr>
        <w:tc>
          <w:tcPr>
            <w:tcW w:w="5000" w:type="pct"/>
            <w:gridSpan w:val="3"/>
            <w:shd w:val="clear" w:color="auto" w:fill="auto"/>
            <w:vAlign w:val="center"/>
          </w:tcPr>
          <w:p w14:paraId="6BD2E68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14:textFill>
                  <w14:solidFill>
                    <w14:schemeClr w14:val="tx1"/>
                  </w14:solidFill>
                </w14:textFill>
              </w:rPr>
              <w:t>四、小会议室音响系统</w:t>
            </w:r>
          </w:p>
        </w:tc>
      </w:tr>
      <w:tr w14:paraId="416E3E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16" w:hRule="atLeast"/>
        </w:trPr>
        <w:tc>
          <w:tcPr>
            <w:tcW w:w="402" w:type="pct"/>
            <w:shd w:val="clear" w:color="auto" w:fill="auto"/>
            <w:vAlign w:val="center"/>
          </w:tcPr>
          <w:p w14:paraId="41F492B3">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w:t>
            </w:r>
          </w:p>
        </w:tc>
        <w:tc>
          <w:tcPr>
            <w:tcW w:w="808" w:type="pct"/>
            <w:shd w:val="clear" w:color="auto" w:fill="auto"/>
            <w:vAlign w:val="center"/>
          </w:tcPr>
          <w:p w14:paraId="06C5347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8x8动态数字音频处理器（5A算法）</w:t>
            </w:r>
          </w:p>
        </w:tc>
        <w:tc>
          <w:tcPr>
            <w:tcW w:w="3790" w:type="pct"/>
            <w:shd w:val="clear" w:color="auto" w:fill="auto"/>
          </w:tcPr>
          <w:p w14:paraId="46F6654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产品类型：动态数字音频处理器（5A算法）</w:t>
            </w:r>
          </w:p>
          <w:p w14:paraId="771EF47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拥有≥8通道输入，≥8通道输出。</w:t>
            </w:r>
          </w:p>
          <w:p w14:paraId="2EE7B35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采用业界领先ADI芯片，最高工作频率可达≥450MHz; </w:t>
            </w:r>
          </w:p>
          <w:p w14:paraId="4E355BC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≥8通道模拟输入，≥8通道模拟输出；</w:t>
            </w:r>
          </w:p>
          <w:p w14:paraId="19D0092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每通道独立的自适应反馈抑制，自动发现反馈点，并自动抑制AFC;</w:t>
            </w:r>
          </w:p>
          <w:p w14:paraId="66BCA83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双通道总线回声消除(AEC)，噪声抑制（ANS);</w:t>
            </w:r>
          </w:p>
          <w:p w14:paraId="5C4861B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增益共享自动混音(AMC)；</w:t>
            </w:r>
          </w:p>
          <w:p w14:paraId="1744795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自动增益(AGC);</w:t>
            </w:r>
          </w:p>
          <w:p w14:paraId="4AF7BFB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全功能矩阵混音，输入混音电平可调节；</w:t>
            </w:r>
          </w:p>
          <w:p w14:paraId="4105A3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不少于 16组预设，每个预设独立工作;</w:t>
            </w:r>
          </w:p>
          <w:p w14:paraId="3AA51C8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支持通道拷贝、LINK和分组功能；</w:t>
            </w:r>
          </w:p>
          <w:p w14:paraId="6D5409B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支持RS232中控和UDP中控，UDP端口可自由设定，控制软件可查看控制代码；</w:t>
            </w:r>
          </w:p>
          <w:p w14:paraId="275332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选配1种类型墙面板，均可软件编程;</w:t>
            </w:r>
          </w:p>
          <w:p w14:paraId="1DEBFA4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除模拟音频输入输出凤凰插接口外，接口类型及数量不少于：RS232*1、RS485*1、RJ45*1，GPIO*8、USB*1。</w:t>
            </w:r>
          </w:p>
          <w:p w14:paraId="1B357BA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总谐波失真：≤0.1%（额定条件0dB 1KHz）</w:t>
            </w:r>
          </w:p>
          <w:p w14:paraId="1485A9B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信噪比：≥100dB(额定条件1KHz 0.5%)</w:t>
            </w:r>
          </w:p>
        </w:tc>
      </w:tr>
      <w:tr w14:paraId="5E557C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402" w:type="pct"/>
            <w:shd w:val="clear" w:color="auto" w:fill="auto"/>
            <w:vAlign w:val="center"/>
          </w:tcPr>
          <w:p w14:paraId="0FE3D661">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1.2.</w:t>
            </w:r>
          </w:p>
        </w:tc>
        <w:tc>
          <w:tcPr>
            <w:tcW w:w="808" w:type="pct"/>
            <w:shd w:val="clear" w:color="auto" w:fill="auto"/>
            <w:vAlign w:val="center"/>
          </w:tcPr>
          <w:p w14:paraId="254D732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3.5寸触控屏</w:t>
            </w:r>
          </w:p>
        </w:tc>
        <w:tc>
          <w:tcPr>
            <w:tcW w:w="3790" w:type="pct"/>
            <w:shd w:val="clear" w:color="auto" w:fill="auto"/>
          </w:tcPr>
          <w:p w14:paraId="4041935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1.≥3.5寸电阻触摸屏，连接到处理器的RS485接口；</w:t>
            </w:r>
          </w:p>
          <w:p w14:paraId="0DCA6C2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2.支持≥8路通道的静音、音量调节及场景切换功能；</w:t>
            </w:r>
          </w:p>
          <w:p w14:paraId="4FB40A2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3.分辨率 320*240 </w:t>
            </w:r>
          </w:p>
          <w:p w14:paraId="7C43B2B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4.颜色 64K色，16位RGB</w:t>
            </w:r>
          </w:p>
          <w:p w14:paraId="22C6770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5.通讯接口 RS485或工业接线端子</w:t>
            </w:r>
          </w:p>
        </w:tc>
      </w:tr>
      <w:tr w14:paraId="7EFD41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0" w:hRule="atLeast"/>
        </w:trPr>
        <w:tc>
          <w:tcPr>
            <w:tcW w:w="402" w:type="pct"/>
            <w:shd w:val="clear" w:color="auto" w:fill="auto"/>
            <w:vAlign w:val="center"/>
          </w:tcPr>
          <w:p w14:paraId="7D91CB3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1.3.</w:t>
            </w:r>
          </w:p>
        </w:tc>
        <w:tc>
          <w:tcPr>
            <w:tcW w:w="808" w:type="pct"/>
            <w:shd w:val="clear" w:color="auto" w:fill="auto"/>
            <w:vAlign w:val="center"/>
          </w:tcPr>
          <w:p w14:paraId="1BB5408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6寸天花扬声器(HiFi)</w:t>
            </w:r>
          </w:p>
        </w:tc>
        <w:tc>
          <w:tcPr>
            <w:tcW w:w="3790" w:type="pct"/>
            <w:shd w:val="clear" w:color="auto" w:fill="auto"/>
          </w:tcPr>
          <w:p w14:paraId="03FBA0D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产品类型：6寸二分频吸顶扬声器</w:t>
            </w:r>
          </w:p>
          <w:p w14:paraId="749B006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单元配置：6"(160mm)单元 ，1"高音</w:t>
            </w:r>
          </w:p>
          <w:p w14:paraId="722990D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频率范围：优于85Hz-18kHz</w:t>
            </w:r>
          </w:p>
          <w:p w14:paraId="78C8D80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额定功率：≥50W</w:t>
            </w:r>
          </w:p>
          <w:p w14:paraId="08BB335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最大声压级SPL：112dB</w:t>
            </w:r>
          </w:p>
          <w:p w14:paraId="48E48F6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灵敏度(1w/1m)：≥88dB </w:t>
            </w:r>
          </w:p>
          <w:p w14:paraId="6B80A70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总谐波失真：≤3%</w:t>
            </w:r>
          </w:p>
          <w:p w14:paraId="6ADD5BD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共振频率：≤95Hz</w:t>
            </w:r>
          </w:p>
          <w:p w14:paraId="0FDDA6A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覆盖角度：100°x100°</w:t>
            </w:r>
          </w:p>
        </w:tc>
      </w:tr>
      <w:tr w14:paraId="7B8405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402" w:type="pct"/>
            <w:shd w:val="clear" w:color="auto" w:fill="auto"/>
            <w:vAlign w:val="center"/>
          </w:tcPr>
          <w:p w14:paraId="16B5A8D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1.4.</w:t>
            </w:r>
          </w:p>
        </w:tc>
        <w:tc>
          <w:tcPr>
            <w:tcW w:w="808" w:type="pct"/>
            <w:shd w:val="clear" w:color="auto" w:fill="auto"/>
            <w:vAlign w:val="center"/>
          </w:tcPr>
          <w:p w14:paraId="540C545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数字功率放大器</w:t>
            </w:r>
          </w:p>
        </w:tc>
        <w:tc>
          <w:tcPr>
            <w:tcW w:w="3790" w:type="pct"/>
            <w:shd w:val="clear" w:color="auto" w:fill="auto"/>
          </w:tcPr>
          <w:p w14:paraId="3814A74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产品类型：四通道开关电源功放；</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8欧姆功率：4个通道，每通道不小于250w；4欧姆功率：4x500w;</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总谐波失真：≤0.1%（1KHz/8欧）</w:t>
            </w:r>
          </w:p>
        </w:tc>
      </w:tr>
      <w:tr w14:paraId="11D1ED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65" w:hRule="atLeast"/>
        </w:trPr>
        <w:tc>
          <w:tcPr>
            <w:tcW w:w="402" w:type="pct"/>
            <w:shd w:val="clear" w:color="auto" w:fill="auto"/>
            <w:vAlign w:val="center"/>
          </w:tcPr>
          <w:p w14:paraId="32306BD3">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1.5.</w:t>
            </w:r>
          </w:p>
        </w:tc>
        <w:tc>
          <w:tcPr>
            <w:tcW w:w="808" w:type="pct"/>
            <w:shd w:val="clear" w:color="auto" w:fill="auto"/>
            <w:vAlign w:val="center"/>
          </w:tcPr>
          <w:p w14:paraId="097551C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无线会议系统主机</w:t>
            </w:r>
          </w:p>
        </w:tc>
        <w:tc>
          <w:tcPr>
            <w:tcW w:w="3790" w:type="pct"/>
            <w:shd w:val="clear" w:color="auto" w:fill="auto"/>
            <w:vAlign w:val="center"/>
          </w:tcPr>
          <w:p w14:paraId="55594E4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主控机与会议系统单元的数字控制及声音信号采用同一电缆传送（六芯）也可无线接收，可独立运作或外接电脑结合软件同步联动操作，脱离电脑时可具有下列几个功能：会议讨论、表决/选举/评议，系统具有高品质声音效果， 具三种会务管理模式：开放模式（FREE）、先进先出（FIFO）、限制发言（LIMIT）， 可直接选择显示文字种类功中文简体/英文，</w:t>
            </w:r>
            <w:r>
              <w:rPr>
                <w:rFonts w:ascii="仿宋" w:hAnsi="仿宋" w:eastAsia="仿宋" w:cs="宋体"/>
                <w:color w:val="000000" w:themeColor="text1"/>
                <w:kern w:val="0"/>
                <w:sz w:val="20"/>
                <w:szCs w:val="20"/>
                <w14:textFill>
                  <w14:solidFill>
                    <w14:schemeClr w14:val="tx1"/>
                  </w14:solidFill>
                </w14:textFill>
              </w:rPr>
              <w:t>支持自定义会议话筒身份功能，可根据现场需要定义为主席单元或代表单元或“VIP”单元</w:t>
            </w:r>
            <w:r>
              <w:rPr>
                <w:rFonts w:hint="eastAsia" w:ascii="仿宋" w:hAnsi="仿宋" w:eastAsia="仿宋" w:cs="宋体"/>
                <w:color w:val="000000" w:themeColor="text1"/>
                <w:kern w:val="0"/>
                <w:sz w:val="20"/>
                <w:szCs w:val="20"/>
                <w14:textFill>
                  <w14:solidFill>
                    <w14:schemeClr w14:val="tx1"/>
                  </w14:solidFill>
                </w14:textFill>
              </w:rPr>
              <w:t>，一主机具四组主端子可连接50套会议单元。增加扩展设备可实现250台会议单元同时使用， 具一组音频讯号输入端子。可外接CD播放器等音源输入设备，具3组音频信号输出端子，可外接录音或音响设备，频率响应：100Hz—18KHz：总谐波失真：在100Hz—18KHz会议系统声音输出小于0.1%，</w:t>
            </w:r>
          </w:p>
          <w:p w14:paraId="4653D79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具有RS232连接插座可外接电脑，与电脑连接使用时，可以通过电脑管理软件实现脱离电脑时的所有功能外，增加了指定发言、申请发言、主席专有、设定发言时间等功能，可安装于19寸的标准机柜中</w:t>
            </w:r>
          </w:p>
        </w:tc>
      </w:tr>
      <w:tr w14:paraId="6ED10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0" w:hRule="atLeast"/>
        </w:trPr>
        <w:tc>
          <w:tcPr>
            <w:tcW w:w="402" w:type="pct"/>
            <w:shd w:val="clear" w:color="auto" w:fill="auto"/>
            <w:vAlign w:val="center"/>
          </w:tcPr>
          <w:p w14:paraId="70EDBF85">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1.6.</w:t>
            </w:r>
          </w:p>
        </w:tc>
        <w:tc>
          <w:tcPr>
            <w:tcW w:w="808" w:type="pct"/>
            <w:shd w:val="clear" w:color="auto" w:fill="auto"/>
            <w:vAlign w:val="center"/>
          </w:tcPr>
          <w:p w14:paraId="3FE29F8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无线主席发言单元</w:t>
            </w:r>
          </w:p>
        </w:tc>
        <w:tc>
          <w:tcPr>
            <w:tcW w:w="3790" w:type="pct"/>
            <w:shd w:val="clear" w:color="auto" w:fill="auto"/>
            <w:vAlign w:val="center"/>
          </w:tcPr>
          <w:p w14:paraId="673E9E8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7BEFD55D">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5082AFE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78EE6B4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6F5E77C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7B355270">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6AE9212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486BEDE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33190B0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50C848C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10、认证换能方式：电容式</w:t>
            </w:r>
          </w:p>
        </w:tc>
      </w:tr>
      <w:tr w14:paraId="1E1A19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02" w:type="pct"/>
            <w:shd w:val="clear" w:color="auto" w:fill="auto"/>
            <w:vAlign w:val="center"/>
          </w:tcPr>
          <w:p w14:paraId="448CC37D">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1.7.</w:t>
            </w:r>
          </w:p>
        </w:tc>
        <w:tc>
          <w:tcPr>
            <w:tcW w:w="808" w:type="pct"/>
            <w:shd w:val="clear" w:color="auto" w:fill="auto"/>
            <w:vAlign w:val="center"/>
          </w:tcPr>
          <w:p w14:paraId="662C7FC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无线代表发言单元</w:t>
            </w:r>
          </w:p>
        </w:tc>
        <w:tc>
          <w:tcPr>
            <w:tcW w:w="3790" w:type="pct"/>
            <w:shd w:val="clear" w:color="auto" w:fill="auto"/>
            <w:vAlign w:val="center"/>
          </w:tcPr>
          <w:p w14:paraId="10A96E3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1、内置14MM纯金振膜音头，超强指向性麦克风拾音技术，有效拾音距离可达80cm</w:t>
            </w:r>
          </w:p>
          <w:p w14:paraId="125552FB">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2、系统具有自动修复功能，支持线路的“热插拔”</w:t>
            </w:r>
          </w:p>
          <w:p w14:paraId="090C24C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3、具有160*32的LCD显示屏</w:t>
            </w:r>
          </w:p>
          <w:p w14:paraId="0BB3E2C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4、具麦克风发言按键及发言指示灯，可控制及显示麦克风开启/关闭</w:t>
            </w:r>
          </w:p>
          <w:p w14:paraId="39DF49F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5、单指向性、具防气爆音、内建防风防护罩之功能</w:t>
            </w:r>
          </w:p>
          <w:p w14:paraId="5D79D332">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6、主席话筒具有主席优先控制按键，可启动系统提示音提醒所有出席人员注意，可设定永久终止或暂停终止所有发言代表麦克风单元动作</w:t>
            </w:r>
          </w:p>
          <w:p w14:paraId="189C17F4">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7、系统中主席单元不受限制，并可置回路中位置</w:t>
            </w:r>
          </w:p>
          <w:p w14:paraId="55A4CB7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8、具有强制切断代表单元麦克风发言的优先功能和主席优先的提示音</w:t>
            </w:r>
          </w:p>
          <w:p w14:paraId="60BE076A">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9、具有主席专有模式：主席按PRIO键关闭发言状态的代表单体后，所有代表单元不能在开启，直至该主席单元结束发言关闭麦克风</w:t>
            </w:r>
          </w:p>
          <w:p w14:paraId="2F43E75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 xml:space="preserve">10、认证换能方式：电容式 </w:t>
            </w:r>
          </w:p>
        </w:tc>
      </w:tr>
      <w:tr w14:paraId="320F4B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402" w:type="pct"/>
            <w:shd w:val="clear" w:color="auto" w:fill="auto"/>
            <w:vAlign w:val="center"/>
          </w:tcPr>
          <w:p w14:paraId="60756EE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1.8.</w:t>
            </w:r>
          </w:p>
        </w:tc>
        <w:tc>
          <w:tcPr>
            <w:tcW w:w="808" w:type="pct"/>
            <w:shd w:val="clear" w:color="auto" w:fill="auto"/>
            <w:vAlign w:val="center"/>
          </w:tcPr>
          <w:p w14:paraId="6107D7E5">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无线话筒手持</w:t>
            </w:r>
          </w:p>
        </w:tc>
        <w:tc>
          <w:tcPr>
            <w:tcW w:w="3790" w:type="pct"/>
            <w:shd w:val="clear" w:color="auto" w:fill="auto"/>
            <w:vAlign w:val="center"/>
          </w:tcPr>
          <w:p w14:paraId="745564D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接收机参数</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无线接收机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载波频段：UHF </w:t>
            </w:r>
            <w:r>
              <w:rPr>
                <w:rFonts w:ascii="仿宋" w:hAnsi="仿宋" w:eastAsia="仿宋" w:cs="宋体"/>
                <w:color w:val="000000" w:themeColor="text1"/>
                <w:kern w:val="0"/>
                <w:sz w:val="20"/>
                <w:szCs w:val="20"/>
                <w14:textFill>
                  <w14:solidFill>
                    <w14:schemeClr w14:val="tx1"/>
                  </w14:solidFill>
                </w14:textFill>
              </w:rPr>
              <w:t>470MHz-510MHz、540MHz-590MHz、640MHz-690MHz、807MHz-830MHz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调制方式：宽带FM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通道数：双通道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振荡方式：PLL相位锁定频率合成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灵敏度：在偏移度等于25kHz，输入6dBv时，S/N&gt;60dB</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频带宽度：30MHz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最大偏移度：±45kHZ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音频频率响应：45Hz～18kHz(±3dB)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综合信噪比：&gt;105dB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综合失真：&lt;0.7％@1KHz。</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 xml:space="preserve">工作距离：&lt;300米(在理想环境的情况下) </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工作环境温度：-10~50</w:t>
            </w:r>
          </w:p>
        </w:tc>
      </w:tr>
      <w:tr w14:paraId="16F4BE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402" w:type="pct"/>
            <w:shd w:val="clear" w:color="auto" w:fill="auto"/>
            <w:vAlign w:val="center"/>
          </w:tcPr>
          <w:p w14:paraId="747837E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1.9.</w:t>
            </w:r>
          </w:p>
        </w:tc>
        <w:tc>
          <w:tcPr>
            <w:tcW w:w="808" w:type="pct"/>
            <w:shd w:val="clear" w:color="auto" w:fill="auto"/>
            <w:vAlign w:val="center"/>
          </w:tcPr>
          <w:p w14:paraId="40731E2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42U机柜</w:t>
            </w:r>
          </w:p>
        </w:tc>
        <w:tc>
          <w:tcPr>
            <w:tcW w:w="3790" w:type="pct"/>
            <w:shd w:val="clear" w:color="auto" w:fill="auto"/>
            <w:vAlign w:val="center"/>
          </w:tcPr>
          <w:p w14:paraId="7B60B41E">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结构简单，操作安装方便，工艺精湛、尺寸精密，经济;</w:t>
            </w:r>
            <w:r>
              <w:rPr>
                <w:rFonts w:hint="eastAsia" w:ascii="仿宋" w:hAnsi="仿宋" w:eastAsia="仿宋" w:cs="宋体"/>
                <w:color w:val="000000" w:themeColor="text1"/>
                <w:kern w:val="0"/>
                <w:sz w:val="20"/>
                <w:szCs w:val="20"/>
                <w14:textFill>
                  <w14:solidFill>
                    <w14:schemeClr w14:val="tx1"/>
                  </w14:solidFill>
                </w14:textFill>
              </w:rPr>
              <w:br w:type="textWrapping"/>
            </w:r>
            <w:r>
              <w:rPr>
                <w:rFonts w:hint="eastAsia" w:ascii="仿宋" w:hAnsi="仿宋" w:eastAsia="仿宋" w:cs="宋体"/>
                <w:color w:val="000000" w:themeColor="text1"/>
                <w:kern w:val="0"/>
                <w:sz w:val="20"/>
                <w:szCs w:val="20"/>
                <w14:textFill>
                  <w14:solidFill>
                    <w14:schemeClr w14:val="tx1"/>
                  </w14:solidFill>
                </w14:textFill>
              </w:rPr>
              <w:t>可同时安装脚轮和支脚;</w:t>
            </w:r>
          </w:p>
        </w:tc>
      </w:tr>
      <w:tr w14:paraId="002A64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457EA8AA">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1.10.</w:t>
            </w:r>
          </w:p>
        </w:tc>
        <w:tc>
          <w:tcPr>
            <w:tcW w:w="808" w:type="pct"/>
            <w:shd w:val="clear" w:color="auto" w:fill="auto"/>
            <w:vAlign w:val="center"/>
          </w:tcPr>
          <w:p w14:paraId="205B7277">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综合接口盒</w:t>
            </w:r>
          </w:p>
        </w:tc>
        <w:tc>
          <w:tcPr>
            <w:tcW w:w="3790" w:type="pct"/>
            <w:shd w:val="clear" w:color="auto" w:fill="auto"/>
            <w:vAlign w:val="center"/>
          </w:tcPr>
          <w:p w14:paraId="3DBF0C8F">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按需定制</w:t>
            </w:r>
          </w:p>
        </w:tc>
      </w:tr>
      <w:tr w14:paraId="5336E4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072BB82F">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1.11.</w:t>
            </w:r>
          </w:p>
        </w:tc>
        <w:tc>
          <w:tcPr>
            <w:tcW w:w="808" w:type="pct"/>
            <w:shd w:val="clear" w:color="auto" w:fill="auto"/>
            <w:vAlign w:val="center"/>
          </w:tcPr>
          <w:p w14:paraId="14948306">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音频线</w:t>
            </w:r>
          </w:p>
        </w:tc>
        <w:tc>
          <w:tcPr>
            <w:tcW w:w="3790" w:type="pct"/>
            <w:shd w:val="clear" w:color="auto" w:fill="auto"/>
            <w:vAlign w:val="center"/>
          </w:tcPr>
          <w:p w14:paraId="71A6D1D1">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RVVP4*0.2mm2带屏蔽线</w:t>
            </w:r>
          </w:p>
        </w:tc>
      </w:tr>
      <w:tr w14:paraId="6BD4ED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402" w:type="pct"/>
            <w:shd w:val="clear" w:color="auto" w:fill="auto"/>
            <w:vAlign w:val="center"/>
          </w:tcPr>
          <w:p w14:paraId="5D970E52">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1.12.</w:t>
            </w:r>
          </w:p>
        </w:tc>
        <w:tc>
          <w:tcPr>
            <w:tcW w:w="808" w:type="pct"/>
            <w:shd w:val="clear" w:color="auto" w:fill="auto"/>
            <w:vAlign w:val="center"/>
          </w:tcPr>
          <w:p w14:paraId="7EF7D9B9">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扬声器线缆</w:t>
            </w:r>
          </w:p>
        </w:tc>
        <w:tc>
          <w:tcPr>
            <w:tcW w:w="3790" w:type="pct"/>
            <w:shd w:val="clear" w:color="auto" w:fill="auto"/>
            <w:vAlign w:val="center"/>
          </w:tcPr>
          <w:p w14:paraId="1D23A2DC">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EVJE 2×2.5mm2</w:t>
            </w:r>
          </w:p>
        </w:tc>
      </w:tr>
      <w:tr w14:paraId="6D762E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402" w:type="pct"/>
            <w:shd w:val="clear" w:color="auto" w:fill="auto"/>
            <w:vAlign w:val="center"/>
          </w:tcPr>
          <w:p w14:paraId="016181C8">
            <w:pPr>
              <w:widowControl/>
              <w:spacing w:line="276"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1.13.</w:t>
            </w:r>
          </w:p>
        </w:tc>
        <w:tc>
          <w:tcPr>
            <w:tcW w:w="808" w:type="pct"/>
            <w:shd w:val="clear" w:color="auto" w:fill="auto"/>
            <w:vAlign w:val="center"/>
          </w:tcPr>
          <w:p w14:paraId="54BB0873">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其它安装附材及安装配件</w:t>
            </w:r>
          </w:p>
        </w:tc>
        <w:tc>
          <w:tcPr>
            <w:tcW w:w="3790" w:type="pct"/>
            <w:shd w:val="clear" w:color="auto" w:fill="auto"/>
            <w:vAlign w:val="center"/>
          </w:tcPr>
          <w:p w14:paraId="42D83CE8">
            <w:pPr>
              <w:widowControl/>
              <w:spacing w:line="276" w:lineRule="auto"/>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定制</w:t>
            </w:r>
          </w:p>
        </w:tc>
      </w:tr>
    </w:tbl>
    <w:p w14:paraId="4F814FA4">
      <w:pPr>
        <w:rPr>
          <w:rFonts w:hint="eastAsia"/>
          <w:color w:val="000000" w:themeColor="text1"/>
          <w14:textFill>
            <w14:solidFill>
              <w14:schemeClr w14:val="tx1"/>
            </w14:solidFill>
          </w14:textFill>
        </w:rPr>
      </w:pPr>
    </w:p>
    <w:p w14:paraId="2A70EF97">
      <w:pPr>
        <w:widowControl/>
        <w:jc w:val="center"/>
        <w:textAlignment w:val="center"/>
        <w:rPr>
          <w:rFonts w:hint="eastAsia" w:cs="宋体"/>
          <w:b/>
          <w:bCs/>
          <w:color w:val="000000" w:themeColor="text1"/>
          <w:kern w:val="0"/>
          <w:sz w:val="44"/>
          <w:szCs w:val="44"/>
          <w:lang w:bidi="ar"/>
          <w14:textFill>
            <w14:solidFill>
              <w14:schemeClr w14:val="tx1"/>
            </w14:solidFill>
          </w14:textFill>
        </w:rPr>
      </w:pPr>
      <w:r>
        <w:rPr>
          <w:rFonts w:hint="eastAsia" w:cs="宋体"/>
          <w:b/>
          <w:bCs/>
          <w:color w:val="000000" w:themeColor="text1"/>
          <w:kern w:val="0"/>
          <w:sz w:val="44"/>
          <w:szCs w:val="44"/>
          <w:lang w:bidi="ar"/>
          <w14:textFill>
            <w14:solidFill>
              <w14:schemeClr w14:val="tx1"/>
            </w14:solidFill>
          </w14:textFill>
        </w:rPr>
        <w:t>报告厅录播直播系统清单</w:t>
      </w:r>
    </w:p>
    <w:p w14:paraId="0AFA4111">
      <w:pPr>
        <w:widowControl/>
        <w:jc w:val="center"/>
        <w:textAlignment w:val="center"/>
        <w:rPr>
          <w:rFonts w:hint="eastAsia" w:cs="宋体"/>
          <w:b/>
          <w:bCs/>
          <w:color w:val="000000" w:themeColor="text1"/>
          <w:kern w:val="0"/>
          <w:szCs w:val="21"/>
          <w:lang w:bidi="ar"/>
          <w14:textFill>
            <w14:solidFill>
              <w14:schemeClr w14:val="tx1"/>
            </w14:solidFill>
          </w14:textFill>
        </w:rPr>
      </w:pPr>
    </w:p>
    <w:tbl>
      <w:tblPr>
        <w:tblStyle w:val="81"/>
        <w:tblW w:w="5891" w:type="pct"/>
        <w:tblInd w:w="-629" w:type="dxa"/>
        <w:tblLayout w:type="autofit"/>
        <w:tblCellMar>
          <w:top w:w="0" w:type="dxa"/>
          <w:left w:w="108" w:type="dxa"/>
          <w:bottom w:w="0" w:type="dxa"/>
          <w:right w:w="108" w:type="dxa"/>
        </w:tblCellMar>
      </w:tblPr>
      <w:tblGrid>
        <w:gridCol w:w="776"/>
        <w:gridCol w:w="915"/>
        <w:gridCol w:w="7542"/>
        <w:gridCol w:w="776"/>
        <w:gridCol w:w="880"/>
      </w:tblGrid>
      <w:tr w14:paraId="4BC8667D">
        <w:tblPrEx>
          <w:tblCellMar>
            <w:top w:w="0" w:type="dxa"/>
            <w:left w:w="108" w:type="dxa"/>
            <w:bottom w:w="0" w:type="dxa"/>
            <w:right w:w="108" w:type="dxa"/>
          </w:tblCellMar>
        </w:tblPrEx>
        <w:trPr>
          <w:trHeight w:val="6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560101F">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序号</w:t>
            </w:r>
          </w:p>
        </w:tc>
        <w:tc>
          <w:tcPr>
            <w:tcW w:w="420" w:type="pct"/>
            <w:tcBorders>
              <w:top w:val="single" w:color="000000" w:sz="4" w:space="0"/>
              <w:left w:val="single" w:color="000000" w:sz="4" w:space="0"/>
              <w:bottom w:val="single" w:color="000000" w:sz="4" w:space="0"/>
              <w:right w:val="single" w:color="000000" w:sz="4" w:space="0"/>
            </w:tcBorders>
            <w:vAlign w:val="center"/>
          </w:tcPr>
          <w:p w14:paraId="2AD55A0A">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名称</w:t>
            </w:r>
          </w:p>
        </w:tc>
        <w:tc>
          <w:tcPr>
            <w:tcW w:w="3462" w:type="pct"/>
            <w:tcBorders>
              <w:top w:val="single" w:color="000000" w:sz="4" w:space="0"/>
              <w:left w:val="single" w:color="000000" w:sz="4" w:space="0"/>
              <w:bottom w:val="single" w:color="000000" w:sz="4" w:space="0"/>
              <w:right w:val="single" w:color="000000" w:sz="4" w:space="0"/>
            </w:tcBorders>
            <w:vAlign w:val="center"/>
          </w:tcPr>
          <w:p w14:paraId="0CAB1C17">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产品描述</w:t>
            </w:r>
          </w:p>
        </w:tc>
        <w:tc>
          <w:tcPr>
            <w:tcW w:w="356" w:type="pct"/>
            <w:tcBorders>
              <w:top w:val="single" w:color="000000" w:sz="4" w:space="0"/>
              <w:left w:val="single" w:color="000000" w:sz="4" w:space="0"/>
              <w:bottom w:val="single" w:color="000000" w:sz="4" w:space="0"/>
              <w:right w:val="single" w:color="000000" w:sz="4" w:space="0"/>
            </w:tcBorders>
            <w:vAlign w:val="center"/>
          </w:tcPr>
          <w:p w14:paraId="18129C4D">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单位</w:t>
            </w:r>
          </w:p>
        </w:tc>
        <w:tc>
          <w:tcPr>
            <w:tcW w:w="404" w:type="pct"/>
            <w:tcBorders>
              <w:top w:val="single" w:color="000000" w:sz="4" w:space="0"/>
              <w:left w:val="single" w:color="000000" w:sz="4" w:space="0"/>
              <w:bottom w:val="single" w:color="000000" w:sz="4" w:space="0"/>
              <w:right w:val="single" w:color="000000" w:sz="4" w:space="0"/>
            </w:tcBorders>
            <w:vAlign w:val="center"/>
          </w:tcPr>
          <w:p w14:paraId="581DDECD">
            <w:pPr>
              <w:widowControl/>
              <w:jc w:val="center"/>
              <w:textAlignment w:val="center"/>
              <w:rPr>
                <w:rFonts w:hint="eastAsia" w:cs="宋体"/>
                <w:b/>
                <w:bCs/>
                <w:color w:val="000000" w:themeColor="text1"/>
                <w:szCs w:val="21"/>
                <w14:textFill>
                  <w14:solidFill>
                    <w14:schemeClr w14:val="tx1"/>
                  </w14:solidFill>
                </w14:textFill>
              </w:rPr>
            </w:pPr>
            <w:r>
              <w:rPr>
                <w:rFonts w:hint="eastAsia" w:cs="宋体"/>
                <w:b/>
                <w:bCs/>
                <w:color w:val="000000" w:themeColor="text1"/>
                <w:kern w:val="0"/>
                <w:szCs w:val="21"/>
                <w:lang w:bidi="ar"/>
                <w14:textFill>
                  <w14:solidFill>
                    <w14:schemeClr w14:val="tx1"/>
                  </w14:solidFill>
                </w14:textFill>
              </w:rPr>
              <w:t>数量</w:t>
            </w:r>
          </w:p>
        </w:tc>
      </w:tr>
      <w:tr w14:paraId="3E5E1BC9">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447E4C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420" w:type="pct"/>
            <w:tcBorders>
              <w:top w:val="single" w:color="000000" w:sz="4" w:space="0"/>
              <w:left w:val="single" w:color="000000" w:sz="4" w:space="0"/>
              <w:bottom w:val="single" w:color="000000" w:sz="4" w:space="0"/>
              <w:right w:val="single" w:color="000000" w:sz="4" w:space="0"/>
            </w:tcBorders>
            <w:vAlign w:val="center"/>
          </w:tcPr>
          <w:p w14:paraId="55DEB1B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全高清录播一体机</w:t>
            </w:r>
          </w:p>
        </w:tc>
        <w:tc>
          <w:tcPr>
            <w:tcW w:w="3462" w:type="pct"/>
            <w:tcBorders>
              <w:top w:val="single" w:color="000000" w:sz="4" w:space="0"/>
              <w:left w:val="single" w:color="000000" w:sz="4" w:space="0"/>
              <w:bottom w:val="single" w:color="000000" w:sz="4" w:space="0"/>
              <w:right w:val="single" w:color="000000" w:sz="4" w:space="0"/>
            </w:tcBorders>
            <w:vAlign w:val="center"/>
          </w:tcPr>
          <w:p w14:paraId="6540529B">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1.设备要求采用高集成度的一体化设计，将录播系统、导播切换系统、自动跟踪系统、音频处理系统集成在单台设备中，不接受多主机连线拼凑方式；核心芯片为国产化芯片，不接受采用X86架构设计类产品。</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2.纯嵌入式硬件架构，采用性能强劲的多核处理器，程序固化不受病毒威胁，无插卡结构，可长期稳定运行，嵌入式操作系统，功耗低，无版权问题，可直接断电关机不会导致系统文件丢失。</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3.要求主机支持多台网络摄像机信号接入，连接方式采用 POE 网口传输信号和供电，视频流支持 RTSP 和RTMP，同时支持 HDMI 输入，支持1080P/60 帧电脑桌面视频输入，可采集教学电脑音视频内容。（提供由国家认可检测机构出具的、在有效期内的检测报告复印件）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4.提供电脑HDMI信号输入接口，支持1080P/60及以下的电脑桌面视频输入，同时可采集教学电脑音视频内容。</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5.支持外接其他音频信号输入，具有自动增益、背景降噪等功能。（提供由国家认可检测机构出具的、在有效期内的检测报告复印件）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6.内置自动导播切换功能，支持摄像机信号、电脑信号间根据教学场景自动切换，生成电影直播画面；导播画面模式支持单画面、多画面等画面、画中画等；支持手动/自动导播切换和手动/自动跟踪切换。</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7.支持无线平板电脑用于导播控制，实现平板的视频直播预览、录制控制、手动导播切换和摄像机云台控制等功能。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8.支持与资源平台无缝对接，实现录播系统的画面通过平台开展大规模线上播放；录播视频自动汇聚，实现校本资源自动分类、发布。（提供由国家认可检测机构出具的、在有效期内的检测报告复印件）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9.与学校资源平台进行资源对接，要求系统支持RTP、RTSP、RTMP等音视频传输协议，支持所录制的视频文件FTP自动上传至服务器功能。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10.为保证直播观看和视频交互流畅进行，要求画面延迟≤300ms（局域网）。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11.录制模式支持本地电影模式、资源模式视频录制和双模式同步录制。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12.支持公网CDN直播推送，支持公网视频平台进行直播对接，支持平台数量≥3个，进行活动视频的大规模直播。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13.设备接口：要求所投设备LAN口≥4（其中两路POE）、HDMI视频输入≥1、HDMI视频输出≥1；要求采用不超过DC-24V安全供电。</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14.音频采用AAC音频编码技术，6路或以上麦克风信号的接入能力，支持独立的48V幻象供电开关；线性音频输入接口≥1、线性音频输出接口≥1。</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要求主机内置存储功能，支持本地录制课堂授课视频。支持与资源平台无缝对接，实现录播系统的画面通过平台开展大规模线上播放；录播视频自动汇聚，实现校本资源自动分类、发布。（提供由国家认可检测机构出具的、在有效期内的检测报告复印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16.内置数字音频处理模块，无需另配音频处理器，支持EQ均衡调节、回声抑制、增益调节、幻象供电及音频采样率和比特率设置。</w:t>
            </w:r>
          </w:p>
        </w:tc>
        <w:tc>
          <w:tcPr>
            <w:tcW w:w="356" w:type="pct"/>
            <w:tcBorders>
              <w:top w:val="single" w:color="000000" w:sz="4" w:space="0"/>
              <w:left w:val="single" w:color="000000" w:sz="4" w:space="0"/>
              <w:bottom w:val="single" w:color="000000" w:sz="4" w:space="0"/>
              <w:right w:val="single" w:color="000000" w:sz="4" w:space="0"/>
            </w:tcBorders>
            <w:vAlign w:val="center"/>
          </w:tcPr>
          <w:p w14:paraId="5301C08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404" w:type="pct"/>
            <w:tcBorders>
              <w:top w:val="single" w:color="000000" w:sz="4" w:space="0"/>
              <w:left w:val="single" w:color="000000" w:sz="4" w:space="0"/>
              <w:bottom w:val="single" w:color="000000" w:sz="4" w:space="0"/>
              <w:right w:val="single" w:color="000000" w:sz="4" w:space="0"/>
            </w:tcBorders>
            <w:vAlign w:val="center"/>
          </w:tcPr>
          <w:p w14:paraId="7EAD1E4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4D6F223C">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5C07FD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420" w:type="pct"/>
            <w:tcBorders>
              <w:top w:val="single" w:color="000000" w:sz="4" w:space="0"/>
              <w:left w:val="single" w:color="000000" w:sz="4" w:space="0"/>
              <w:bottom w:val="single" w:color="000000" w:sz="4" w:space="0"/>
              <w:right w:val="single" w:color="000000" w:sz="4" w:space="0"/>
            </w:tcBorders>
            <w:vAlign w:val="center"/>
          </w:tcPr>
          <w:p w14:paraId="13459A0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多功能直录播平台</w:t>
            </w:r>
          </w:p>
        </w:tc>
        <w:tc>
          <w:tcPr>
            <w:tcW w:w="3462" w:type="pct"/>
            <w:tcBorders>
              <w:top w:val="single" w:color="000000" w:sz="4" w:space="0"/>
              <w:left w:val="single" w:color="000000" w:sz="4" w:space="0"/>
              <w:bottom w:val="single" w:color="000000" w:sz="4" w:space="0"/>
              <w:right w:val="single" w:color="000000" w:sz="4" w:space="0"/>
            </w:tcBorders>
            <w:vAlign w:val="center"/>
          </w:tcPr>
          <w:p w14:paraId="7B7E5E12">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1.为保证系统的稳定性，录播平台软件需内置于录播一体机内。</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2.采用B/S架构，具备直播、点播、录制管理、导播控制、系统设置、参数修改等功能，支持Linux、mac、Windows多操作系统访问，支持IE、谷歌、火狐、360等各版本浏览器访问。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3.为保证系统与资源平台进行资源对接，要求系统支持RTP、RTSP、RTMP等音视频传输协议，支持所录制的视频文件FTP自动上传至服务器功能。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4.为保证直播观看和视频交互流畅进行，要求画面延迟≤300ms（局域网）。</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5.支持公网CDN直播推送，支持公网视频平台进行直播对接，支持平台数量≥3个，进行活动视频的大规模直播。</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6.录制模式支持本地电影模式、资源模式视频录制和双模式同步录制。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7.支持分辨率自适应功能，以适应老师中途更换课件信号源设备，无需手动调整主要设备分辨率或重启，自适应1920×1080以下任意分辨率，支持动态改变输入信号的分辨率直播不断流，也不会中断录制过程。</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8.录制文件采用标准流媒体MP4格式，支持通用的播放器或嵌入网页方式播放。</w:t>
            </w:r>
          </w:p>
        </w:tc>
        <w:tc>
          <w:tcPr>
            <w:tcW w:w="356" w:type="pct"/>
            <w:tcBorders>
              <w:top w:val="single" w:color="000000" w:sz="4" w:space="0"/>
              <w:left w:val="single" w:color="000000" w:sz="4" w:space="0"/>
              <w:bottom w:val="single" w:color="000000" w:sz="4" w:space="0"/>
              <w:right w:val="single" w:color="000000" w:sz="4" w:space="0"/>
            </w:tcBorders>
            <w:vAlign w:val="center"/>
          </w:tcPr>
          <w:p w14:paraId="6131B8D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vAlign w:val="center"/>
          </w:tcPr>
          <w:p w14:paraId="1EBAAC3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65DB01DF">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3C5FDDB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420" w:type="pct"/>
            <w:tcBorders>
              <w:top w:val="single" w:color="000000" w:sz="4" w:space="0"/>
              <w:left w:val="single" w:color="000000" w:sz="4" w:space="0"/>
              <w:bottom w:val="single" w:color="000000" w:sz="4" w:space="0"/>
              <w:right w:val="single" w:color="000000" w:sz="4" w:space="0"/>
            </w:tcBorders>
            <w:vAlign w:val="center"/>
          </w:tcPr>
          <w:p w14:paraId="05A1711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导播控制系统</w:t>
            </w:r>
          </w:p>
        </w:tc>
        <w:tc>
          <w:tcPr>
            <w:tcW w:w="3462" w:type="pct"/>
            <w:tcBorders>
              <w:top w:val="single" w:color="000000" w:sz="4" w:space="0"/>
              <w:left w:val="single" w:color="000000" w:sz="4" w:space="0"/>
              <w:bottom w:val="single" w:color="000000" w:sz="4" w:space="0"/>
              <w:right w:val="single" w:color="000000" w:sz="4" w:space="0"/>
            </w:tcBorders>
            <w:vAlign w:val="center"/>
          </w:tcPr>
          <w:p w14:paraId="4302F9D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1.为保证系统的稳定性，所投产品需内置于录播一体机内；</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2.采用B/S架构，支持IE、谷歌、火狐、360等各版本浏览器访问；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3.导播画面模式支持单画面、多画面、等画面、画中画等多种模式，画面黑边支持自定义填充功能；</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4.支持手动/自动导播切换和手动/自动跟踪切换。通过键鼠即可控制导播操作，无需专业的硬件导播操纵杆；</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5.支持无线平板电脑用于导播控制，可实现平板的视频直播预览、录制控制、手动导播切换和摄像机云台控制等操作；</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6.摄像机手动控制时支持鼠标点击跟踪功能，支持摄像机快速变倍调节；</w:t>
            </w:r>
          </w:p>
        </w:tc>
        <w:tc>
          <w:tcPr>
            <w:tcW w:w="356" w:type="pct"/>
            <w:tcBorders>
              <w:top w:val="single" w:color="000000" w:sz="4" w:space="0"/>
              <w:left w:val="single" w:color="000000" w:sz="4" w:space="0"/>
              <w:bottom w:val="single" w:color="000000" w:sz="4" w:space="0"/>
              <w:right w:val="single" w:color="000000" w:sz="4" w:space="0"/>
            </w:tcBorders>
            <w:vAlign w:val="center"/>
          </w:tcPr>
          <w:p w14:paraId="7A87E8B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vAlign w:val="center"/>
          </w:tcPr>
          <w:p w14:paraId="6D5A493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5D4A2CE6">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406A61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420" w:type="pct"/>
            <w:tcBorders>
              <w:top w:val="single" w:color="000000" w:sz="4" w:space="0"/>
              <w:left w:val="single" w:color="000000" w:sz="4" w:space="0"/>
              <w:bottom w:val="single" w:color="000000" w:sz="4" w:space="0"/>
              <w:right w:val="single" w:color="000000" w:sz="4" w:space="0"/>
            </w:tcBorders>
            <w:vAlign w:val="center"/>
          </w:tcPr>
          <w:p w14:paraId="170EBC3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4K云台摄像机</w:t>
            </w:r>
          </w:p>
        </w:tc>
        <w:tc>
          <w:tcPr>
            <w:tcW w:w="3462" w:type="pct"/>
            <w:tcBorders>
              <w:top w:val="single" w:color="000000" w:sz="4" w:space="0"/>
              <w:left w:val="single" w:color="000000" w:sz="4" w:space="0"/>
              <w:bottom w:val="single" w:color="000000" w:sz="4" w:space="0"/>
              <w:right w:val="single" w:color="000000" w:sz="4" w:space="0"/>
            </w:tcBorders>
            <w:vAlign w:val="center"/>
          </w:tcPr>
          <w:p w14:paraId="5DBE8D8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采用先进的控制算法的精密电机驱动，操作起来非常安静、流畅、平稳，能精确和快速地移动到指定位置，并进行大范围的拍摄。</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采用1/2.5英寸，851万有效像素的高品质传感器，可实现3840×2160 超高分辨率的优质图像。在保证超高清晰度的同时，重点满足了对画面流畅性的需求。</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应用了2D和基于运动估计的3D降噪算法，采用新一代低噪声传感器，有效的降低了噪声。</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20X光学变焦，12倍数字变焦</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支持通过HDMI、USB3.0、网络输出4KP30/25,1080P60/50/30/25、720P60/50等多种高清视频制式。</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可通过串口对255个位置进行预先设置，包括水平、俯仰、变倍进行预设，即使在摄像机掉电关闭时，预设数据也可以保存下来。</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摄像机借助芯片的AI算力，搭载先进的AI算法实现单目人形跟踪，可实现教育、会议和直播等场景的自动跟踪。</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摄像机支持本地TF卡槽本地录制功能，支持4KP30、1080P30、720P30多种视频格式可选，且可通过快捷指令任意开启或关闭录制功能</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配备有操作简便的遥控器，除了可进行基本设定，以及对水平、俯仰、变倍等进行控制外，还可以通过遥控器调出菜单设定摄像机的相关参数。</w:t>
            </w:r>
          </w:p>
        </w:tc>
        <w:tc>
          <w:tcPr>
            <w:tcW w:w="356" w:type="pct"/>
            <w:tcBorders>
              <w:top w:val="single" w:color="000000" w:sz="4" w:space="0"/>
              <w:left w:val="single" w:color="000000" w:sz="4" w:space="0"/>
              <w:bottom w:val="single" w:color="000000" w:sz="4" w:space="0"/>
              <w:right w:val="single" w:color="000000" w:sz="4" w:space="0"/>
            </w:tcBorders>
            <w:vAlign w:val="center"/>
          </w:tcPr>
          <w:p w14:paraId="312597E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404" w:type="pct"/>
            <w:tcBorders>
              <w:top w:val="single" w:color="000000" w:sz="4" w:space="0"/>
              <w:left w:val="single" w:color="000000" w:sz="4" w:space="0"/>
              <w:bottom w:val="single" w:color="000000" w:sz="4" w:space="0"/>
              <w:right w:val="single" w:color="000000" w:sz="4" w:space="0"/>
            </w:tcBorders>
            <w:vAlign w:val="center"/>
          </w:tcPr>
          <w:p w14:paraId="42A0134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r>
      <w:tr w14:paraId="1750DDE5">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6868B1C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420" w:type="pct"/>
            <w:tcBorders>
              <w:top w:val="single" w:color="000000" w:sz="4" w:space="0"/>
              <w:left w:val="single" w:color="000000" w:sz="4" w:space="0"/>
              <w:bottom w:val="single" w:color="000000" w:sz="4" w:space="0"/>
              <w:right w:val="single" w:color="000000" w:sz="4" w:space="0"/>
            </w:tcBorders>
            <w:vAlign w:val="center"/>
          </w:tcPr>
          <w:p w14:paraId="0555ED0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导播控制电脑</w:t>
            </w:r>
          </w:p>
        </w:tc>
        <w:tc>
          <w:tcPr>
            <w:tcW w:w="3462" w:type="pct"/>
            <w:tcBorders>
              <w:top w:val="single" w:color="000000" w:sz="4" w:space="0"/>
              <w:left w:val="single" w:color="000000" w:sz="4" w:space="0"/>
              <w:bottom w:val="single" w:color="000000" w:sz="4" w:space="0"/>
              <w:right w:val="single" w:color="000000" w:sz="4" w:space="0"/>
            </w:tcBorders>
            <w:vAlign w:val="center"/>
          </w:tcPr>
          <w:p w14:paraId="050C2286">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处理器：最高频率4.9GHz；12核心，16线程，三级缓存18MB</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内存：32GB LPDDR5X 6400MHz</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硬盘：1TB SSD固态硬盘（PCIe4.0）</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显示屏：16英寸，分辨率2560x1600，亮度400nits，色域sRGB100%，刷新率120Hz，低蓝光认证、无频闪认证，支持DC调光，支持杜比视界</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摄像头：1080p FHD摄像头</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音频系统：杜比Atmos音效</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扬声器：2×2W立体声音响</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麦克风：内置双麦克风</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无线网卡：WiFi6，支持802.11ax无线协议，兼容802.11a/b/g/n/ac，支持双频（2.4GHz+5GHz）</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蓝牙：支持，蓝牙5.2模块</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数据接口：2×USB3.2 Type-C（全功能），1×USB3.0 ，1×USB2.0</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视频接口：1×HDMI2.1</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音频接口：3.5mm耳机/麦克风二合一接口</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指取设备：一体化多点触控触摸板</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键盘：全尺寸键盘，背光键盘</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指纹识别：支持智能指纹识别功能，指纹电源按键</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电池：锂电池，72瓦时</w:t>
            </w:r>
          </w:p>
        </w:tc>
        <w:tc>
          <w:tcPr>
            <w:tcW w:w="356" w:type="pct"/>
            <w:tcBorders>
              <w:top w:val="single" w:color="000000" w:sz="4" w:space="0"/>
              <w:left w:val="single" w:color="000000" w:sz="4" w:space="0"/>
              <w:bottom w:val="single" w:color="000000" w:sz="4" w:space="0"/>
              <w:right w:val="single" w:color="000000" w:sz="4" w:space="0"/>
            </w:tcBorders>
            <w:vAlign w:val="center"/>
          </w:tcPr>
          <w:p w14:paraId="7267E9E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台</w:t>
            </w:r>
          </w:p>
        </w:tc>
        <w:tc>
          <w:tcPr>
            <w:tcW w:w="404" w:type="pct"/>
            <w:tcBorders>
              <w:top w:val="single" w:color="000000" w:sz="4" w:space="0"/>
              <w:left w:val="single" w:color="000000" w:sz="4" w:space="0"/>
              <w:bottom w:val="single" w:color="000000" w:sz="4" w:space="0"/>
              <w:right w:val="single" w:color="000000" w:sz="4" w:space="0"/>
            </w:tcBorders>
            <w:vAlign w:val="center"/>
          </w:tcPr>
          <w:p w14:paraId="6236972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6B750EBE">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3007D5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420" w:type="pct"/>
            <w:tcBorders>
              <w:top w:val="single" w:color="000000" w:sz="4" w:space="0"/>
              <w:left w:val="single" w:color="000000" w:sz="4" w:space="0"/>
              <w:bottom w:val="single" w:color="000000" w:sz="4" w:space="0"/>
              <w:right w:val="single" w:color="000000" w:sz="4" w:space="0"/>
            </w:tcBorders>
            <w:vAlign w:val="center"/>
          </w:tcPr>
          <w:p w14:paraId="086A7E7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电动伸缩支架</w:t>
            </w:r>
          </w:p>
        </w:tc>
        <w:tc>
          <w:tcPr>
            <w:tcW w:w="3462" w:type="pct"/>
            <w:tcBorders>
              <w:top w:val="single" w:color="000000" w:sz="4" w:space="0"/>
              <w:left w:val="single" w:color="000000" w:sz="4" w:space="0"/>
              <w:bottom w:val="single" w:color="000000" w:sz="4" w:space="0"/>
              <w:right w:val="single" w:color="000000" w:sz="4" w:space="0"/>
            </w:tcBorders>
            <w:vAlign w:val="center"/>
          </w:tcPr>
          <w:p w14:paraId="6745A06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 竹节电动吊架控制器采用特殊工艺制作，长期稳定性可靠。</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2. 采用无线控制，遥控没有方向性，遥控有效半径为30米以上；</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3. 采用无线数字编码方式，千万组。</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4. 无线控制升降；手动控制升降；或者连接RS232，RS485.</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5. 带有电子限位功能，遥控器轻松完成吊架上下限位的设置。</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6. 负载能力大于等于15kg。</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7.  智能控制：支持无线射频遥控、线控按钮开关和中控RS485串口控制；</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8. 产品材质：金属冷轧钢烤漆底座/航空级铝合金方管；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9. 运行噪音：≤40db（计权）；</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10. 工作电源：交流220V，功率60w以上；</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11. 升降速度：30mm/sec以下；</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12. 升降行程： 660-3300mm；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13. 控制方式：射频遥控、RS485中控、线控；</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14. 设置方法：遥控电子定位，定位精度：≤1mm；</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15. 升降承重：≤15kg；</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16. 升降节数：8节以上。</w:t>
            </w:r>
          </w:p>
        </w:tc>
        <w:tc>
          <w:tcPr>
            <w:tcW w:w="356" w:type="pct"/>
            <w:tcBorders>
              <w:top w:val="single" w:color="000000" w:sz="4" w:space="0"/>
              <w:left w:val="single" w:color="000000" w:sz="4" w:space="0"/>
              <w:bottom w:val="single" w:color="000000" w:sz="4" w:space="0"/>
              <w:right w:val="single" w:color="000000" w:sz="4" w:space="0"/>
            </w:tcBorders>
            <w:vAlign w:val="center"/>
          </w:tcPr>
          <w:p w14:paraId="5B073C2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c>
          <w:tcPr>
            <w:tcW w:w="404" w:type="pct"/>
            <w:tcBorders>
              <w:top w:val="single" w:color="000000" w:sz="4" w:space="0"/>
              <w:left w:val="single" w:color="000000" w:sz="4" w:space="0"/>
              <w:bottom w:val="single" w:color="000000" w:sz="4" w:space="0"/>
              <w:right w:val="single" w:color="000000" w:sz="4" w:space="0"/>
            </w:tcBorders>
            <w:vAlign w:val="center"/>
          </w:tcPr>
          <w:p w14:paraId="0185C1B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r>
      <w:tr w14:paraId="59A6A0DC">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7C6D01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w:t>
            </w:r>
          </w:p>
        </w:tc>
        <w:tc>
          <w:tcPr>
            <w:tcW w:w="420" w:type="pct"/>
            <w:tcBorders>
              <w:top w:val="single" w:color="000000" w:sz="4" w:space="0"/>
              <w:left w:val="single" w:color="000000" w:sz="4" w:space="0"/>
              <w:bottom w:val="single" w:color="000000" w:sz="4" w:space="0"/>
              <w:right w:val="single" w:color="000000" w:sz="4" w:space="0"/>
            </w:tcBorders>
            <w:vAlign w:val="center"/>
          </w:tcPr>
          <w:p w14:paraId="340971B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公网直播服务</w:t>
            </w:r>
          </w:p>
        </w:tc>
        <w:tc>
          <w:tcPr>
            <w:tcW w:w="3462" w:type="pct"/>
            <w:tcBorders>
              <w:top w:val="single" w:color="000000" w:sz="4" w:space="0"/>
              <w:left w:val="single" w:color="000000" w:sz="4" w:space="0"/>
              <w:bottom w:val="single" w:color="000000" w:sz="4" w:space="0"/>
              <w:right w:val="single" w:color="000000" w:sz="4" w:space="0"/>
            </w:tcBorders>
            <w:vAlign w:val="center"/>
          </w:tcPr>
          <w:p w14:paraId="2834F66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可以用手机、电脑、摄像机等设备进行直播</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发送模板消息：已接入服务号的直播间可设置模板消息，系统将推送消息提示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全终端适配观看：PC端、移动端、iPad的等都可以打开直播间地址观看</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直播间助理（最多5个）：助理在直播间可以进行删除发言、禁言 拉黑、发红包雨、发直播间特效、使用马甲功能等操作</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图片/图文菜单：直播页面可添加自定义菜单，多种互动展示满足不同需求</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商品菜单：后台添加商品，直播间展示商品列表</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自定义播放器封面：自定义上传直播间封面</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频道场景设置：可以根据直播类型选择相应直播的场景，突出活动主题</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微信分享设置：自定义编辑分享设置</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直播引导图设置：定义上传移动端引导图，并可设置倒计时自动跳转到直播间</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边看边买：对于电商直播，观众可以边看主播直播边购买商品</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获取推流地址：可以获取推流地址，将推流地址复制于推流设备上，即可开启直播</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消息回复：直播评论中可以针对观众的评论进行回复</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拉黑/禁言/删除：支持人工审核，可对违反者进行拉黑/禁言/删除</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打赏：观众可以对直播间进行打赏、点赞、赠送礼物等</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红包：管理员在直播过程中可以发送普通红包</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抽奖：直播过程中可以设置抽奖环节</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图文投票：有别于纯文字投票，可以添加投票项图片</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19、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文档直播：直播的同时，可同时演示文档，实现画中画或者分屏页面效果</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聊天记录（文字/语音）：直播中支持发送文字/表情/图片/语音进行互动</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微信一键分享：微信直接打开直播间地址，分享给好友、群或者朋友圈</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直播状态的开关：可以把上传的视频当直播的视频播放，不显示直播状态</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多平台推流：将第三方创建的直播推流地址粘贴到平台，可实现多平台直播，快手直播登录账号可一键转推</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二维码关注：直播间可以设置公众号二维码关注 微信二维码等</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直播介绍页：进入直播间前直播介绍页的展示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机器人评论：可设置直播机器人，活跃直播现场气氛</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邀请卡海报：自动生成直播间邀请卡海报</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人数放大：设置直播间虚拟观看数</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29、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付费分销：付费观看的分销功能</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聊天问答：用户可在直播间聊天互动问答区进行提问，默认为免费提问</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秒杀：直播间秒杀功能</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商品推荐：直播的商品可以放推荐位</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访问人次开关：可以关闭或开启访问人次</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小程序入口开关：可以开启或者关闭小程序入口</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聊天互动开关：聊天记录可以开关，不需要可以关闭</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邀请函显示开关：邀请函可以在直播间显示或者不显示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直播间打赏开关：直播间打赏可显示或不显示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离开直播间提醒：开启后，易推流端和IOS APP可以收到用户离开直播间提醒</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39、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进入直播间提醒：开启进入直播间提醒后，观看者进去直播间都可以看到</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直播间点赞开关：直播间点赞不需要可以关闭</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直播间礼物开关：直播间可以把送礼物关闭或者开启</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语音聊天互动开关：直播间开启语音聊天互动可以发语音</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打赏排行榜：查看打赏榜排名情况，可设置榜单活动规则</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邀请排行榜：查看邀请榜排名情况，可设置榜单活动规则</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自定义礼物：可自定义礼物，同时新增免费礼物</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自定义广告：直播间可设置多种广告，如轮播图、品牌引导页等，增加品牌曝光度</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邀请榜奖品：开启邀请榜奖品后，可根据需要设置排行榜前三名奖品</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优惠券：随机立减券、满减优惠券、折扣优惠券</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49、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视频门户：可以将后台创建的直播间进行分门别类展示在同一个页面</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视频上传：后台支持上传录制好的视频（mp4/flv格式）</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回放时长：直播结束后，回放时长套餐内不限</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播放器外嵌：iframe标签嵌入到H5页面</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存储/下载/转码：结束直播后，可以下载直播回放视频</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授权观看：密码观看：进入直播间需要输入密码才可以观看</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微信登陆观看：微信扫码或者直接打开链接默认登录进入直播间</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56、</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签到观看：签到才可进入直播间（签到可以选择是否强制）</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57、</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手机白名单观看：进入直播间需要输入后台白名单里手机号才可以观看</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58、</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付费观看：进入直播间需要付费才可以观看</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59、</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自定义授权观看：可以自定义设置授权观看，比如员工工号，身份证号，姓名等</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60、</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直播数据统计：直播总时长、总观看人次、总观看人数准确统计</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61、</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可视化报告：后台数据统计按设备、时间段、地域多条件分析</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62、</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邀请榜明细：被邀请人详细信息统计，可以看到每个客户的邀请人员情况，可查看不可导出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63、</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邀请分销统计：分享直播间或者分享邀请函给用户进去直播间，用户在直播间本地商城下单的商品购买金额，可查看不可导出</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64、</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一键转推快手：后台打开开关，授权快手账号，在诺云平台直播的同时，画面可同步到快手平台</w:t>
            </w:r>
            <w:r>
              <w:rPr>
                <w:rStyle w:val="777"/>
                <w:rFonts w:hint="default"/>
                <w:color w:val="000000" w:themeColor="text1"/>
                <w:sz w:val="21"/>
                <w:szCs w:val="21"/>
                <w:lang w:bidi="ar"/>
                <w14:textFill>
                  <w14:solidFill>
                    <w14:schemeClr w14:val="tx1"/>
                  </w14:solidFill>
                </w14:textFill>
              </w:rPr>
              <w:br w:type="textWrapping"/>
            </w:r>
            <w:r>
              <w:rPr>
                <w:rStyle w:val="777"/>
                <w:rFonts w:hint="default"/>
                <w:color w:val="000000" w:themeColor="text1"/>
                <w:sz w:val="21"/>
                <w:szCs w:val="21"/>
                <w:lang w:bidi="ar"/>
                <w14:textFill>
                  <w14:solidFill>
                    <w14:schemeClr w14:val="tx1"/>
                  </w14:solidFill>
                </w14:textFill>
              </w:rPr>
              <w:t>65、</w:t>
            </w:r>
            <w:r>
              <w:rPr>
                <w:rStyle w:val="114"/>
                <w:rFonts w:hint="default"/>
                <w:color w:val="000000" w:themeColor="text1"/>
                <w:sz w:val="21"/>
                <w:szCs w:val="21"/>
                <w:lang w:bidi="ar"/>
                <w14:textFill>
                  <w14:solidFill>
                    <w14:schemeClr w14:val="tx1"/>
                  </w14:solidFill>
                </w14:textFill>
              </w:rPr>
              <w:t xml:space="preserve"> </w:t>
            </w:r>
            <w:r>
              <w:rPr>
                <w:rStyle w:val="777"/>
                <w:rFonts w:hint="default"/>
                <w:color w:val="000000" w:themeColor="text1"/>
                <w:sz w:val="21"/>
                <w:szCs w:val="21"/>
                <w:lang w:bidi="ar"/>
                <w14:textFill>
                  <w14:solidFill>
                    <w14:schemeClr w14:val="tx1"/>
                  </w14:solidFill>
                </w14:textFill>
              </w:rPr>
              <w:t>云导播台：可实现云端水印制作和多机位直播，按时长收费</w:t>
            </w:r>
          </w:p>
        </w:tc>
        <w:tc>
          <w:tcPr>
            <w:tcW w:w="356" w:type="pct"/>
            <w:tcBorders>
              <w:top w:val="single" w:color="000000" w:sz="4" w:space="0"/>
              <w:left w:val="single" w:color="000000" w:sz="4" w:space="0"/>
              <w:bottom w:val="single" w:color="000000" w:sz="4" w:space="0"/>
              <w:right w:val="single" w:color="000000" w:sz="4" w:space="0"/>
            </w:tcBorders>
            <w:vAlign w:val="center"/>
          </w:tcPr>
          <w:p w14:paraId="5A4D9A8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年</w:t>
            </w:r>
          </w:p>
        </w:tc>
        <w:tc>
          <w:tcPr>
            <w:tcW w:w="404" w:type="pct"/>
            <w:tcBorders>
              <w:top w:val="single" w:color="000000" w:sz="4" w:space="0"/>
              <w:left w:val="single" w:color="000000" w:sz="4" w:space="0"/>
              <w:bottom w:val="single" w:color="000000" w:sz="4" w:space="0"/>
              <w:right w:val="single" w:color="000000" w:sz="4" w:space="0"/>
            </w:tcBorders>
            <w:vAlign w:val="center"/>
          </w:tcPr>
          <w:p w14:paraId="55BBF83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0F339719">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151FD95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8</w:t>
            </w:r>
          </w:p>
        </w:tc>
        <w:tc>
          <w:tcPr>
            <w:tcW w:w="420" w:type="pct"/>
            <w:tcBorders>
              <w:top w:val="single" w:color="000000" w:sz="4" w:space="0"/>
              <w:left w:val="single" w:color="000000" w:sz="4" w:space="0"/>
              <w:bottom w:val="single" w:color="000000" w:sz="4" w:space="0"/>
              <w:right w:val="single" w:color="000000" w:sz="4" w:space="0"/>
            </w:tcBorders>
            <w:vAlign w:val="center"/>
          </w:tcPr>
          <w:p w14:paraId="09E7A076">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一拖二便携式无线麦克风</w:t>
            </w:r>
          </w:p>
        </w:tc>
        <w:tc>
          <w:tcPr>
            <w:tcW w:w="3462" w:type="pct"/>
            <w:tcBorders>
              <w:top w:val="single" w:color="000000" w:sz="4" w:space="0"/>
              <w:left w:val="single" w:color="000000" w:sz="4" w:space="0"/>
              <w:bottom w:val="single" w:color="000000" w:sz="4" w:space="0"/>
              <w:right w:val="single" w:color="000000" w:sz="4" w:space="0"/>
            </w:tcBorders>
            <w:vAlign w:val="center"/>
          </w:tcPr>
          <w:p w14:paraId="13D54AAE">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 </w:t>
            </w:r>
            <w:r>
              <w:rPr>
                <w:rStyle w:val="115"/>
                <w:rFonts w:ascii="宋体" w:hAnsi="宋体" w:cs="宋体"/>
                <w:color w:val="000000" w:themeColor="text1"/>
                <w:sz w:val="21"/>
                <w:szCs w:val="21"/>
                <w:lang w:bidi="ar"/>
                <w14:textFill>
                  <w14:solidFill>
                    <w14:schemeClr w14:val="tx1"/>
                  </w14:solidFill>
                </w14:textFill>
              </w:rPr>
              <w:t>双通道无线麦克风系统，也可作为单通道无线麦克风使用。</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F357D6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5FE77EC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64856DFD">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5AA8C18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9</w:t>
            </w:r>
          </w:p>
        </w:tc>
        <w:tc>
          <w:tcPr>
            <w:tcW w:w="420" w:type="pct"/>
            <w:tcBorders>
              <w:top w:val="single" w:color="000000" w:sz="4" w:space="0"/>
              <w:left w:val="single" w:color="000000" w:sz="4" w:space="0"/>
              <w:bottom w:val="single" w:color="000000" w:sz="4" w:space="0"/>
              <w:right w:val="single" w:color="000000" w:sz="4" w:space="0"/>
            </w:tcBorders>
            <w:vAlign w:val="center"/>
          </w:tcPr>
          <w:p w14:paraId="47D31E4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专业摄像机</w:t>
            </w:r>
          </w:p>
        </w:tc>
        <w:tc>
          <w:tcPr>
            <w:tcW w:w="3462" w:type="pct"/>
            <w:tcBorders>
              <w:top w:val="single" w:color="000000" w:sz="4" w:space="0"/>
              <w:left w:val="single" w:color="000000" w:sz="4" w:space="0"/>
              <w:bottom w:val="single" w:color="000000" w:sz="4" w:space="0"/>
              <w:right w:val="single" w:color="000000" w:sz="4" w:space="0"/>
            </w:tcBorders>
            <w:vAlign w:val="center"/>
          </w:tcPr>
          <w:p w14:paraId="1CDCD79F">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50P/60P录制功能，12G-SDI 4K视频信号输出，无级ND滤镜，17倍高质量变焦镜头，双 SxS介质插槽，广播标准 MPEG HD422 和 MPEG HD，内置了5GHz和 2.4GHz </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1BBCD28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575B881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1BC9735F">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5F8158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10</w:t>
            </w:r>
          </w:p>
        </w:tc>
        <w:tc>
          <w:tcPr>
            <w:tcW w:w="420" w:type="pct"/>
            <w:tcBorders>
              <w:top w:val="single" w:color="000000" w:sz="4" w:space="0"/>
              <w:left w:val="single" w:color="000000" w:sz="4" w:space="0"/>
              <w:bottom w:val="single" w:color="000000" w:sz="4" w:space="0"/>
              <w:right w:val="single" w:color="000000" w:sz="4" w:space="0"/>
            </w:tcBorders>
            <w:vAlign w:val="center"/>
          </w:tcPr>
          <w:p w14:paraId="788E2A7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加厚备用电池</w:t>
            </w:r>
          </w:p>
        </w:tc>
        <w:tc>
          <w:tcPr>
            <w:tcW w:w="3462" w:type="pct"/>
            <w:tcBorders>
              <w:top w:val="single" w:color="000000" w:sz="4" w:space="0"/>
              <w:left w:val="single" w:color="000000" w:sz="4" w:space="0"/>
              <w:bottom w:val="single" w:color="000000" w:sz="4" w:space="0"/>
              <w:right w:val="single" w:color="000000" w:sz="4" w:space="0"/>
            </w:tcBorders>
            <w:vAlign w:val="center"/>
          </w:tcPr>
          <w:p w14:paraId="7A7449C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锂离子电池，14.4V◆ 可在寻像器中显示数字电量信息◆ 内置14.4V B型口输出/充电输入◆ 内置5V/2A USB输出◆ 4段LED电量指示灯◆ 多重安全保护电路</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35C320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块</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62F9904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58F1D213">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6290">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11</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B949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专业摄像机支架</w:t>
            </w:r>
          </w:p>
        </w:tc>
        <w:tc>
          <w:tcPr>
            <w:tcW w:w="3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17308">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云台类型：球碗型液压云台，云台碗径：65mm，云台承重：3kg，动 平 衡：固定动平衡</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水平阻尼：固定液压阻尼垂直阻尼：无极持续可调俯仰范围：+90度--75度架体结构</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4A035">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586E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5E2875D6">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8E3E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12</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D4E97">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专用携带包</w:t>
            </w:r>
          </w:p>
        </w:tc>
        <w:tc>
          <w:tcPr>
            <w:tcW w:w="3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A5C14">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防水拉链设计，外层采用牛津布，适用于所有中小型手持摄像机</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E139E">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75B5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4B1AE980">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100663C">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13</w:t>
            </w:r>
          </w:p>
        </w:tc>
        <w:tc>
          <w:tcPr>
            <w:tcW w:w="420" w:type="pct"/>
            <w:tcBorders>
              <w:top w:val="single" w:color="000000" w:sz="4" w:space="0"/>
              <w:left w:val="single" w:color="000000" w:sz="4" w:space="0"/>
              <w:bottom w:val="single" w:color="000000" w:sz="4" w:space="0"/>
              <w:right w:val="single" w:color="000000" w:sz="4" w:space="0"/>
            </w:tcBorders>
            <w:vAlign w:val="center"/>
          </w:tcPr>
          <w:p w14:paraId="0410C18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存储卡套装</w:t>
            </w:r>
          </w:p>
        </w:tc>
        <w:tc>
          <w:tcPr>
            <w:tcW w:w="3462" w:type="pct"/>
            <w:tcBorders>
              <w:top w:val="single" w:color="000000" w:sz="4" w:space="0"/>
              <w:left w:val="single" w:color="000000" w:sz="4" w:space="0"/>
              <w:bottom w:val="single" w:color="000000" w:sz="4" w:space="0"/>
              <w:right w:val="single" w:color="000000" w:sz="4" w:space="0"/>
            </w:tcBorders>
            <w:noWrap/>
            <w:vAlign w:val="center"/>
          </w:tcPr>
          <w:p w14:paraId="1DAF6950">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SXS卡套+128G SD存储卡，读大于280MB/s 写大于280MB/s,配读卡器</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0F75722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40779259">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r>
      <w:tr w14:paraId="11FD729B">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7A3CBDE3">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14</w:t>
            </w:r>
          </w:p>
        </w:tc>
        <w:tc>
          <w:tcPr>
            <w:tcW w:w="420" w:type="pct"/>
            <w:tcBorders>
              <w:top w:val="single" w:color="000000" w:sz="4" w:space="0"/>
              <w:left w:val="single" w:color="000000" w:sz="4" w:space="0"/>
              <w:bottom w:val="single" w:color="000000" w:sz="4" w:space="0"/>
              <w:right w:val="single" w:color="000000" w:sz="4" w:space="0"/>
            </w:tcBorders>
            <w:vAlign w:val="center"/>
          </w:tcPr>
          <w:p w14:paraId="7BEA06B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专业立体声耳机</w:t>
            </w:r>
          </w:p>
        </w:tc>
        <w:tc>
          <w:tcPr>
            <w:tcW w:w="3462" w:type="pct"/>
            <w:tcBorders>
              <w:top w:val="single" w:color="000000" w:sz="4" w:space="0"/>
              <w:left w:val="single" w:color="000000" w:sz="4" w:space="0"/>
              <w:bottom w:val="single" w:color="000000" w:sz="4" w:space="0"/>
              <w:right w:val="single" w:color="000000" w:sz="4" w:space="0"/>
            </w:tcBorders>
            <w:vAlign w:val="center"/>
          </w:tcPr>
          <w:p w14:paraId="7A350CC7">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专业监听耳机；舒适、头戴式设计（耳罩完全覆盖耳廓）频率响应：10～20000Hz；</w:t>
            </w:r>
            <w:r>
              <w:rPr>
                <w:rFonts w:hint="eastAsia" w:cs="宋体"/>
                <w:color w:val="000000" w:themeColor="text1"/>
                <w:kern w:val="0"/>
                <w:szCs w:val="21"/>
                <w:lang w:bidi="ar"/>
                <w14:textFill>
                  <w14:solidFill>
                    <w14:schemeClr w14:val="tx1"/>
                  </w14:solidFill>
                </w14:textFill>
              </w:rPr>
              <w:br w:type="textWrapping"/>
            </w:r>
            <w:r>
              <w:rPr>
                <w:rFonts w:hint="eastAsia" w:cs="宋体"/>
                <w:color w:val="000000" w:themeColor="text1"/>
                <w:kern w:val="0"/>
                <w:szCs w:val="21"/>
                <w:lang w:bidi="ar"/>
                <w14:textFill>
                  <w14:solidFill>
                    <w14:schemeClr w14:val="tx1"/>
                  </w14:solidFill>
                </w14:textFill>
              </w:rPr>
              <w:t xml:space="preserve"> 阻抗：63ohms at 1kHz；</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9232D3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个</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0E40053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r w14:paraId="05C1170E">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D871">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5BA24">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广播级无线图传（含双电双充）</w:t>
            </w:r>
          </w:p>
        </w:tc>
        <w:tc>
          <w:tcPr>
            <w:tcW w:w="34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CB5FA">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 xml:space="preserve"> 无线模组：OFDM 16QAM, 64QAM, Q 7-34V 功耗：发射端 8W，接收端 8W备注：含2块原装电池、双路充电器</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6F27E428">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套</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4B1B9F0A">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r>
      <w:tr w14:paraId="6F83B7D4">
        <w:tblPrEx>
          <w:tblCellMar>
            <w:top w:w="0" w:type="dxa"/>
            <w:left w:w="108" w:type="dxa"/>
            <w:bottom w:w="0" w:type="dxa"/>
            <w:right w:w="108" w:type="dxa"/>
          </w:tblCellMar>
        </w:tblPrEx>
        <w:trPr>
          <w:trHeight w:val="700" w:hRule="atLeast"/>
        </w:trPr>
        <w:tc>
          <w:tcPr>
            <w:tcW w:w="356" w:type="pct"/>
            <w:tcBorders>
              <w:top w:val="single" w:color="000000" w:sz="4" w:space="0"/>
              <w:left w:val="single" w:color="000000" w:sz="4" w:space="0"/>
              <w:bottom w:val="single" w:color="000000" w:sz="4" w:space="0"/>
              <w:right w:val="single" w:color="000000" w:sz="4" w:space="0"/>
            </w:tcBorders>
            <w:vAlign w:val="center"/>
          </w:tcPr>
          <w:p w14:paraId="0A751C4F">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16</w:t>
            </w:r>
          </w:p>
        </w:tc>
        <w:tc>
          <w:tcPr>
            <w:tcW w:w="420" w:type="pct"/>
            <w:tcBorders>
              <w:top w:val="single" w:color="000000" w:sz="4" w:space="0"/>
              <w:left w:val="single" w:color="000000" w:sz="4" w:space="0"/>
              <w:bottom w:val="single" w:color="000000" w:sz="4" w:space="0"/>
              <w:right w:val="single" w:color="000000" w:sz="4" w:space="0"/>
            </w:tcBorders>
            <w:vAlign w:val="center"/>
          </w:tcPr>
          <w:p w14:paraId="442F139B">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配套辅材</w:t>
            </w:r>
          </w:p>
        </w:tc>
        <w:tc>
          <w:tcPr>
            <w:tcW w:w="3462" w:type="pct"/>
            <w:tcBorders>
              <w:top w:val="single" w:color="000000" w:sz="4" w:space="0"/>
              <w:left w:val="single" w:color="000000" w:sz="4" w:space="0"/>
              <w:bottom w:val="single" w:color="000000" w:sz="4" w:space="0"/>
              <w:right w:val="single" w:color="000000" w:sz="4" w:space="0"/>
            </w:tcBorders>
            <w:vAlign w:val="center"/>
          </w:tcPr>
          <w:p w14:paraId="0C3BFEC9">
            <w:pPr>
              <w:widowControl/>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7mm线径3G-SDI同轴视频线（BNC接口），2米×9根.0版4K HDMI线，2米×6根4.5mm线径3、6.5转卡侬母线，3米×2</w:t>
            </w:r>
          </w:p>
        </w:tc>
        <w:tc>
          <w:tcPr>
            <w:tcW w:w="356" w:type="pct"/>
            <w:tcBorders>
              <w:top w:val="single" w:color="000000" w:sz="4" w:space="0"/>
              <w:left w:val="single" w:color="000000" w:sz="4" w:space="0"/>
              <w:bottom w:val="single" w:color="000000" w:sz="4" w:space="0"/>
              <w:right w:val="single" w:color="000000" w:sz="4" w:space="0"/>
            </w:tcBorders>
            <w:noWrap/>
            <w:vAlign w:val="center"/>
          </w:tcPr>
          <w:p w14:paraId="3D23B432">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批</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9C007CD">
            <w:pPr>
              <w:widowControl/>
              <w:jc w:val="center"/>
              <w:textAlignment w:val="center"/>
              <w:rPr>
                <w:rFonts w:hint="eastAsia" w:cs="宋体"/>
                <w:color w:val="000000" w:themeColor="text1"/>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r>
    </w:tbl>
    <w:p w14:paraId="25864F78">
      <w:pPr>
        <w:pStyle w:val="31"/>
        <w:spacing w:after="0" w:line="360" w:lineRule="auto"/>
        <w:rPr>
          <w:rFonts w:hint="eastAsia"/>
          <w:b/>
          <w:bCs/>
          <w:color w:val="000000" w:themeColor="text1"/>
          <w14:textFill>
            <w14:solidFill>
              <w14:schemeClr w14:val="tx1"/>
            </w14:solidFill>
          </w14:textFill>
        </w:rPr>
      </w:pPr>
    </w:p>
    <w:p w14:paraId="5C64CC4A">
      <w:pPr>
        <w:pStyle w:val="70"/>
        <w:rPr>
          <w:rFonts w:hint="eastAsia" w:ascii="宋体" w:hAnsi="宋体" w:eastAsia="宋体" w:cs="黑体"/>
          <w:color w:val="000000" w:themeColor="text1"/>
          <w:sz w:val="24"/>
          <w14:textFill>
            <w14:solidFill>
              <w14:schemeClr w14:val="tx1"/>
            </w14:solidFill>
          </w14:textFill>
        </w:rPr>
      </w:pPr>
      <w:r>
        <w:rPr>
          <w:rFonts w:hint="eastAsia" w:ascii="宋体" w:hAnsi="宋体" w:eastAsia="宋体" w:cs="黑体"/>
          <w:b/>
          <w:bCs/>
          <w:color w:val="000000" w:themeColor="text1"/>
          <w:sz w:val="28"/>
          <w:szCs w:val="28"/>
          <w14:textFill>
            <w14:solidFill>
              <w14:schemeClr w14:val="tx1"/>
            </w14:solidFill>
          </w14:textFill>
        </w:rPr>
        <w:t>★四、商务要求：</w:t>
      </w:r>
    </w:p>
    <w:p w14:paraId="435DAF65">
      <w:pPr>
        <w:pStyle w:val="70"/>
        <w:rPr>
          <w:rFonts w:hint="eastAsia" w:ascii="宋体" w:hAnsi="宋体" w:eastAsia="宋体" w:cs="黑体"/>
          <w:color w:val="000000" w:themeColor="text1"/>
          <w:sz w:val="24"/>
          <w14:textFill>
            <w14:solidFill>
              <w14:schemeClr w14:val="tx1"/>
            </w14:solidFill>
          </w14:textFill>
        </w:rPr>
      </w:pPr>
      <w:r>
        <w:rPr>
          <w:rFonts w:hint="eastAsia" w:ascii="宋体" w:hAnsi="宋体" w:eastAsia="宋体" w:cs="黑体"/>
          <w:b/>
          <w:bCs/>
          <w:color w:val="000000" w:themeColor="text1"/>
          <w:sz w:val="24"/>
          <w14:textFill>
            <w14:solidFill>
              <w14:schemeClr w14:val="tx1"/>
            </w14:solidFill>
          </w14:textFill>
        </w:rPr>
        <w:t>1、合同履行期限</w:t>
      </w:r>
      <w:r>
        <w:rPr>
          <w:rFonts w:hint="eastAsia" w:ascii="宋体" w:hAnsi="宋体" w:eastAsia="宋体" w:cs="黑体"/>
          <w:color w:val="000000" w:themeColor="text1"/>
          <w:sz w:val="24"/>
          <w14:textFill>
            <w14:solidFill>
              <w14:schemeClr w14:val="tx1"/>
            </w14:solidFill>
          </w14:textFill>
        </w:rPr>
        <w:t>：自合同签订之日起45日历天完成安装调试，并通过验收。</w:t>
      </w:r>
    </w:p>
    <w:p w14:paraId="1C68D29A">
      <w:pPr>
        <w:pStyle w:val="70"/>
        <w:rPr>
          <w:rFonts w:hint="eastAsia" w:ascii="宋体" w:hAnsi="宋体" w:eastAsia="宋体" w:cs="黑体"/>
          <w:color w:val="000000" w:themeColor="text1"/>
          <w:sz w:val="24"/>
          <w14:textFill>
            <w14:solidFill>
              <w14:schemeClr w14:val="tx1"/>
            </w14:solidFill>
          </w14:textFill>
        </w:rPr>
      </w:pPr>
      <w:r>
        <w:rPr>
          <w:rFonts w:hint="eastAsia" w:ascii="宋体" w:hAnsi="宋体" w:eastAsia="宋体" w:cs="黑体"/>
          <w:b/>
          <w:bCs/>
          <w:color w:val="000000" w:themeColor="text1"/>
          <w:sz w:val="24"/>
          <w14:textFill>
            <w14:solidFill>
              <w14:schemeClr w14:val="tx1"/>
            </w14:solidFill>
          </w14:textFill>
        </w:rPr>
        <w:t>2、付款方式：</w:t>
      </w:r>
      <w:r>
        <w:rPr>
          <w:rFonts w:hint="eastAsia" w:ascii="宋体" w:hAnsi="宋体" w:eastAsia="宋体" w:cs="黑体"/>
          <w:color w:val="000000" w:themeColor="text1"/>
          <w:sz w:val="24"/>
          <w14:textFill>
            <w14:solidFill>
              <w14:schemeClr w14:val="tx1"/>
            </w14:solidFill>
          </w14:textFill>
        </w:rPr>
        <w:t>以合同约定为准</w:t>
      </w:r>
    </w:p>
    <w:p w14:paraId="482A3C83">
      <w:pPr>
        <w:pStyle w:val="70"/>
        <w:rPr>
          <w:rFonts w:hint="eastAsia" w:ascii="宋体" w:hAnsi="宋体" w:eastAsia="宋体" w:cs="黑体"/>
          <w:color w:val="000000" w:themeColor="text1"/>
          <w:sz w:val="24"/>
          <w:lang w:val="zh-CN"/>
          <w14:textFill>
            <w14:solidFill>
              <w14:schemeClr w14:val="tx1"/>
            </w14:solidFill>
          </w14:textFill>
        </w:rPr>
      </w:pPr>
      <w:r>
        <w:rPr>
          <w:rFonts w:hint="eastAsia" w:ascii="宋体" w:hAnsi="宋体" w:eastAsia="宋体" w:cs="黑体"/>
          <w:b/>
          <w:bCs/>
          <w:color w:val="000000" w:themeColor="text1"/>
          <w:sz w:val="24"/>
          <w14:textFill>
            <w14:solidFill>
              <w14:schemeClr w14:val="tx1"/>
            </w14:solidFill>
          </w14:textFill>
        </w:rPr>
        <w:t>3、本项目为“交钥匙”项目，即中标人的最终报价即为本项目合同价格。对在合同实施过程中可能发生的其他费用（如增加耗材、材料涨价、人工和运输成本增加等因素），采购人概不负责。</w:t>
      </w:r>
    </w:p>
    <w:p w14:paraId="747820EB">
      <w:pPr>
        <w:widowControl/>
        <w:textAlignment w:val="center"/>
        <w:rPr>
          <w:rFonts w:hint="eastAsia"/>
          <w:b/>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4、采购标的其他要求：</w:t>
      </w:r>
    </w:p>
    <w:p w14:paraId="0CE1B32F">
      <w:pPr>
        <w:widowControl/>
        <w:textAlignment w:val="center"/>
        <w:rPr>
          <w:rFonts w:hint="eastAsia"/>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4.1 培训</w:t>
      </w:r>
    </w:p>
    <w:p w14:paraId="30923E46">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4.1.1 中标人应对招标人的操作人员及维护人员提供操作培训及维护培训，直至培训人员能完全操作（投标人列明具体培训计划方案）。</w:t>
      </w:r>
    </w:p>
    <w:p w14:paraId="41BE2EB0">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4.1.2 投标人在投标文件中应提出详细的培训内容和培训计划。</w:t>
      </w:r>
    </w:p>
    <w:p w14:paraId="4852E06D">
      <w:pPr>
        <w:widowControl/>
        <w:textAlignment w:val="center"/>
        <w:rPr>
          <w:rFonts w:hint="eastAsia"/>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4.2 质量保证及售后服务</w:t>
      </w:r>
    </w:p>
    <w:p w14:paraId="6B23513C">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4.2.1维修人员接到维修电话后须在 2小时内赶到现场，并提供不间断的服务直到结束。维修点需提供足够的备件以适应维修需求，而且必须具备 24小时服务和承担所有维修服务的能力。常规故障承诺响应时间：2小时之内；重大故障承诺响应时间：4小时之内。同样故障连续出现 3次，则质保期时间从最后一次修复后重新计算(提供相关服务承诺，否则作废标处理)。</w:t>
      </w:r>
    </w:p>
    <w:p w14:paraId="1D9D63FB">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4.2.2 免费质保期3年，质保期从验收合格后开始计算。质保期内供应商免费负责修理和替换任何由于设备自身的质量问题造成的损坏及故障。</w:t>
      </w:r>
    </w:p>
    <w:p w14:paraId="30239250">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4.2.3 质保期内出现任何质量问题（人为破坏或自然灾害等不可抗力除外），由供应商负责全免费（免全部工时费、材料费、管理费、财务费等等）更换或维修；质保期内如果发生较大质量故障并且不能在四十八小时内修复，则从该故障修复之日起重新核定质保期。质保期满后，无论采购人是否另行选择维保供应商，供应商应及时优惠提供所需的备品备件。</w:t>
      </w:r>
    </w:p>
    <w:p w14:paraId="3979C2B6">
      <w:pPr>
        <w:pStyle w:val="31"/>
        <w:spacing w:after="0"/>
        <w:rPr>
          <w:rFonts w:hint="eastAsia"/>
          <w:b/>
          <w:bCs/>
          <w:color w:val="000000" w:themeColor="text1"/>
          <w:kern w:val="44"/>
          <w:sz w:val="44"/>
          <w:szCs w:val="44"/>
          <w14:textFill>
            <w14:solidFill>
              <w14:schemeClr w14:val="tx1"/>
            </w14:solidFill>
          </w14:textFill>
        </w:rPr>
      </w:pPr>
    </w:p>
    <w:p w14:paraId="6D0E9D51">
      <w:pPr>
        <w:pStyle w:val="31"/>
        <w:spacing w:after="0"/>
        <w:rPr>
          <w:rFonts w:hint="eastAsia"/>
          <w:b/>
          <w:bCs/>
          <w:color w:val="000000" w:themeColor="text1"/>
          <w:kern w:val="44"/>
          <w:sz w:val="44"/>
          <w:szCs w:val="44"/>
          <w14:textFill>
            <w14:solidFill>
              <w14:schemeClr w14:val="tx1"/>
            </w14:solidFill>
          </w14:textFill>
        </w:rPr>
      </w:pPr>
    </w:p>
    <w:p w14:paraId="65534BD7">
      <w:pPr>
        <w:pStyle w:val="31"/>
        <w:spacing w:after="0"/>
        <w:rPr>
          <w:rFonts w:hint="eastAsia"/>
          <w:b/>
          <w:bCs/>
          <w:color w:val="000000" w:themeColor="text1"/>
          <w:kern w:val="44"/>
          <w:sz w:val="44"/>
          <w:szCs w:val="44"/>
          <w14:textFill>
            <w14:solidFill>
              <w14:schemeClr w14:val="tx1"/>
            </w14:solidFill>
          </w14:textFill>
        </w:rPr>
      </w:pPr>
    </w:p>
    <w:p w14:paraId="1E460023">
      <w:pPr>
        <w:pStyle w:val="31"/>
        <w:spacing w:after="0"/>
        <w:rPr>
          <w:rFonts w:hint="eastAsia"/>
          <w:b/>
          <w:bCs/>
          <w:color w:val="000000" w:themeColor="text1"/>
          <w:kern w:val="44"/>
          <w:sz w:val="44"/>
          <w:szCs w:val="44"/>
          <w14:textFill>
            <w14:solidFill>
              <w14:schemeClr w14:val="tx1"/>
            </w14:solidFill>
          </w14:textFill>
        </w:rPr>
      </w:pPr>
    </w:p>
    <w:p w14:paraId="69766CDD">
      <w:pPr>
        <w:pStyle w:val="31"/>
        <w:spacing w:after="0"/>
        <w:rPr>
          <w:rFonts w:hint="eastAsia"/>
          <w:b/>
          <w:bCs/>
          <w:color w:val="000000" w:themeColor="text1"/>
          <w:kern w:val="44"/>
          <w:sz w:val="44"/>
          <w:szCs w:val="44"/>
          <w14:textFill>
            <w14:solidFill>
              <w14:schemeClr w14:val="tx1"/>
            </w14:solidFill>
          </w14:textFill>
        </w:rPr>
      </w:pPr>
    </w:p>
    <w:p w14:paraId="0711CD64">
      <w:pPr>
        <w:pStyle w:val="31"/>
        <w:spacing w:after="0"/>
        <w:rPr>
          <w:rFonts w:hint="eastAsia"/>
          <w:b/>
          <w:bCs/>
          <w:color w:val="000000" w:themeColor="text1"/>
          <w:kern w:val="44"/>
          <w:sz w:val="44"/>
          <w:szCs w:val="44"/>
          <w14:textFill>
            <w14:solidFill>
              <w14:schemeClr w14:val="tx1"/>
            </w14:solidFill>
          </w14:textFill>
        </w:rPr>
      </w:pPr>
    </w:p>
    <w:p w14:paraId="4EFDEB75">
      <w:pPr>
        <w:pStyle w:val="31"/>
        <w:spacing w:after="0"/>
        <w:rPr>
          <w:rFonts w:hint="eastAsia"/>
          <w:b/>
          <w:bCs/>
          <w:color w:val="000000" w:themeColor="text1"/>
          <w:kern w:val="44"/>
          <w:sz w:val="44"/>
          <w:szCs w:val="44"/>
          <w14:textFill>
            <w14:solidFill>
              <w14:schemeClr w14:val="tx1"/>
            </w14:solidFill>
          </w14:textFill>
        </w:rPr>
      </w:pPr>
    </w:p>
    <w:p w14:paraId="1642CB93">
      <w:pPr>
        <w:pStyle w:val="31"/>
        <w:spacing w:after="0"/>
        <w:rPr>
          <w:rFonts w:hint="eastAsia"/>
          <w:b/>
          <w:bCs/>
          <w:color w:val="000000" w:themeColor="text1"/>
          <w:kern w:val="44"/>
          <w:sz w:val="44"/>
          <w:szCs w:val="44"/>
          <w14:textFill>
            <w14:solidFill>
              <w14:schemeClr w14:val="tx1"/>
            </w14:solidFill>
          </w14:textFill>
        </w:rPr>
      </w:pPr>
    </w:p>
    <w:p w14:paraId="0D5FD0D7">
      <w:pPr>
        <w:pStyle w:val="31"/>
        <w:spacing w:after="0"/>
        <w:rPr>
          <w:rFonts w:hint="eastAsia"/>
          <w:b/>
          <w:bCs/>
          <w:color w:val="000000" w:themeColor="text1"/>
          <w:kern w:val="44"/>
          <w:sz w:val="44"/>
          <w:szCs w:val="44"/>
          <w14:textFill>
            <w14:solidFill>
              <w14:schemeClr w14:val="tx1"/>
            </w14:solidFill>
          </w14:textFill>
        </w:rPr>
      </w:pPr>
    </w:p>
    <w:p w14:paraId="53C8FC84">
      <w:pPr>
        <w:pStyle w:val="31"/>
        <w:spacing w:after="0"/>
        <w:rPr>
          <w:rFonts w:hint="eastAsia"/>
          <w:b/>
          <w:bCs/>
          <w:color w:val="000000" w:themeColor="text1"/>
          <w:kern w:val="44"/>
          <w:sz w:val="44"/>
          <w:szCs w:val="44"/>
          <w14:textFill>
            <w14:solidFill>
              <w14:schemeClr w14:val="tx1"/>
            </w14:solidFill>
          </w14:textFill>
        </w:rPr>
      </w:pPr>
    </w:p>
    <w:p w14:paraId="361046F9">
      <w:pPr>
        <w:pStyle w:val="3"/>
        <w:spacing w:before="0" w:after="0" w:line="240" w:lineRule="auto"/>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Start w:id="304" w:name="_Toc5539"/>
      <w:r>
        <w:rPr>
          <w:rFonts w:hint="eastAsia"/>
          <w:color w:val="000000" w:themeColor="text1"/>
          <w14:textFill>
            <w14:solidFill>
              <w14:schemeClr w14:val="tx1"/>
            </w14:solidFill>
          </w14:textFill>
        </w:rPr>
        <w:t>第四章 资格审查方法及标准</w:t>
      </w:r>
      <w:bookmarkEnd w:id="299"/>
      <w:bookmarkEnd w:id="304"/>
    </w:p>
    <w:p w14:paraId="6328C748">
      <w:pPr>
        <w:pStyle w:val="91"/>
        <w:wordWrap/>
        <w:rPr>
          <w:rFonts w:hint="eastAsia"/>
          <w:color w:val="000000" w:themeColor="text1"/>
          <w:lang w:val="en-US"/>
          <w14:textFill>
            <w14:solidFill>
              <w14:schemeClr w14:val="tx1"/>
            </w14:solidFill>
          </w14:textFill>
        </w:rPr>
      </w:pPr>
    </w:p>
    <w:p w14:paraId="382FF6B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根据《中华人民共和国政府采购法》及其实施条例、《政府采购货物和服务招标投标管理办法》等相关法律法规确定以下资格审查方法和标准。</w:t>
      </w:r>
    </w:p>
    <w:p w14:paraId="24F07F48">
      <w:pPr>
        <w:pStyle w:val="4"/>
        <w:numPr>
          <w:ilvl w:val="0"/>
          <w:numId w:val="14"/>
        </w:numPr>
        <w:spacing w:before="0" w:after="0"/>
        <w:ind w:left="0"/>
        <w:rPr>
          <w:rFonts w:hint="eastAsia"/>
          <w:color w:val="000000" w:themeColor="text1"/>
          <w:lang w:val="zh-CN"/>
          <w14:textFill>
            <w14:solidFill>
              <w14:schemeClr w14:val="tx1"/>
            </w14:solidFill>
          </w14:textFill>
        </w:rPr>
      </w:pPr>
      <w:bookmarkStart w:id="305" w:name="_Toc155185897"/>
      <w:bookmarkStart w:id="306" w:name="_Toc140132822"/>
      <w:bookmarkStart w:id="307" w:name="_Toc653"/>
      <w:r>
        <w:rPr>
          <w:rFonts w:hint="eastAsia"/>
          <w:color w:val="000000" w:themeColor="text1"/>
          <w:lang w:val="zh-CN"/>
          <w14:textFill>
            <w14:solidFill>
              <w14:schemeClr w14:val="tx1"/>
            </w14:solidFill>
          </w14:textFill>
        </w:rPr>
        <w:t>资格审查</w:t>
      </w:r>
      <w:bookmarkEnd w:id="305"/>
      <w:bookmarkEnd w:id="306"/>
      <w:r>
        <w:rPr>
          <w:rFonts w:hint="eastAsia"/>
          <w:color w:val="000000" w:themeColor="text1"/>
          <w14:textFill>
            <w14:solidFill>
              <w14:schemeClr w14:val="tx1"/>
            </w14:solidFill>
          </w14:textFill>
        </w:rPr>
        <w:t>方法</w:t>
      </w:r>
      <w:bookmarkEnd w:id="307"/>
    </w:p>
    <w:p w14:paraId="3D669037">
      <w:pPr>
        <w:ind w:firstLine="420"/>
        <w:rPr>
          <w:rFonts w:hint="eastAsia"/>
          <w:bCs/>
          <w:color w:val="000000" w:themeColor="text1"/>
          <w:lang w:val="zh-CN"/>
          <w14:textFill>
            <w14:solidFill>
              <w14:schemeClr w14:val="tx1"/>
            </w14:solidFill>
          </w14:textFill>
        </w:rPr>
      </w:pPr>
      <w:r>
        <w:rPr>
          <w:rFonts w:hint="eastAsia"/>
          <w:bCs/>
          <w:color w:val="000000" w:themeColor="text1"/>
          <w:lang w:val="zh-CN"/>
          <w14:textFill>
            <w14:solidFill>
              <w14:schemeClr w14:val="tx1"/>
            </w14:solidFill>
          </w14:textFill>
        </w:rPr>
        <w:t>开标结束后，采购人或采购代理机构依据法律、法规及招标文件的规定，对投标人的资格进行审查，以确定投标人资格是否合格。</w:t>
      </w:r>
    </w:p>
    <w:p w14:paraId="38345989">
      <w:pPr>
        <w:pStyle w:val="4"/>
        <w:numPr>
          <w:ilvl w:val="0"/>
          <w:numId w:val="14"/>
        </w:numPr>
        <w:spacing w:before="0" w:after="0"/>
        <w:ind w:left="0"/>
        <w:rPr>
          <w:rFonts w:hint="eastAsia"/>
          <w:color w:val="000000" w:themeColor="text1"/>
          <w:lang w:val="zh-CN"/>
          <w14:textFill>
            <w14:solidFill>
              <w14:schemeClr w14:val="tx1"/>
            </w14:solidFill>
          </w14:textFill>
        </w:rPr>
      </w:pPr>
      <w:bookmarkStart w:id="308" w:name="_Toc10060"/>
      <w:r>
        <w:rPr>
          <w:rFonts w:hint="eastAsia"/>
          <w:color w:val="000000" w:themeColor="text1"/>
          <w:lang w:val="zh-CN"/>
          <w14:textFill>
            <w14:solidFill>
              <w14:schemeClr w14:val="tx1"/>
            </w14:solidFill>
          </w14:textFill>
        </w:rPr>
        <w:t>资格审查程序</w:t>
      </w:r>
      <w:bookmarkEnd w:id="308"/>
    </w:p>
    <w:p w14:paraId="19D80FC4">
      <w:pPr>
        <w:pStyle w:val="5"/>
        <w:numPr>
          <w:ilvl w:val="0"/>
          <w:numId w:val="15"/>
        </w:numPr>
        <w:spacing w:before="0" w:after="0"/>
        <w:ind w:left="0"/>
        <w:rPr>
          <w:rFonts w:hint="eastAsia"/>
          <w:color w:val="000000" w:themeColor="text1"/>
          <w14:textFill>
            <w14:solidFill>
              <w14:schemeClr w14:val="tx1"/>
            </w14:solidFill>
          </w14:textFill>
        </w:rPr>
      </w:pPr>
      <w:bookmarkStart w:id="309" w:name="_Toc155185898"/>
      <w:bookmarkStart w:id="310" w:name="_Toc14219"/>
      <w:r>
        <w:rPr>
          <w:rFonts w:hint="eastAsia"/>
          <w:color w:val="000000" w:themeColor="text1"/>
          <w:lang w:val="zh-CN"/>
          <w14:textFill>
            <w14:solidFill>
              <w14:schemeClr w14:val="tx1"/>
            </w14:solidFill>
          </w14:textFill>
        </w:rPr>
        <w:t>资格审查</w:t>
      </w:r>
      <w:bookmarkEnd w:id="309"/>
      <w:bookmarkEnd w:id="310"/>
    </w:p>
    <w:p w14:paraId="74B27AA2">
      <w:pPr>
        <w:ind w:firstLine="420"/>
        <w:rPr>
          <w:rFonts w:hint="eastAsia" w:cs="Helvetica"/>
          <w:color w:val="000000" w:themeColor="text1"/>
          <w:szCs w:val="24"/>
          <w:lang w:val="zh-CN"/>
          <w14:textFill>
            <w14:solidFill>
              <w14:schemeClr w14:val="tx1"/>
            </w14:solidFill>
          </w14:textFill>
        </w:rPr>
      </w:pPr>
      <w:r>
        <w:rPr>
          <w:rFonts w:hint="eastAsia"/>
          <w:bCs/>
          <w:color w:val="000000" w:themeColor="text1"/>
          <w:szCs w:val="24"/>
          <w:lang w:val="zh-CN"/>
          <w14:textFill>
            <w14:solidFill>
              <w14:schemeClr w14:val="tx1"/>
            </w14:solidFill>
          </w14:textFill>
        </w:rPr>
        <w:t>1</w:t>
      </w:r>
      <w:r>
        <w:rPr>
          <w:bCs/>
          <w:color w:val="000000" w:themeColor="text1"/>
          <w:szCs w:val="24"/>
          <w:lang w:val="zh-CN"/>
          <w14:textFill>
            <w14:solidFill>
              <w14:schemeClr w14:val="tx1"/>
            </w14:solidFill>
          </w14:textFill>
        </w:rPr>
        <w:t>.</w:t>
      </w:r>
      <w:r>
        <w:rPr>
          <w:rFonts w:hint="eastAsia"/>
          <w:bCs/>
          <w:color w:val="000000" w:themeColor="text1"/>
          <w:szCs w:val="24"/>
          <w:lang w:val="zh-CN"/>
          <w14:textFill>
            <w14:solidFill>
              <w14:schemeClr w14:val="tx1"/>
            </w14:solidFill>
          </w14:textFill>
        </w:rPr>
        <w:t>开标结束后，采购人或采购代理机构</w:t>
      </w:r>
      <w:r>
        <w:rPr>
          <w:rFonts w:hint="eastAsia" w:cs="Helvetica"/>
          <w:color w:val="000000" w:themeColor="text1"/>
          <w:szCs w:val="24"/>
          <w:lang w:val="zh-CN"/>
          <w14:textFill>
            <w14:solidFill>
              <w14:schemeClr w14:val="tx1"/>
            </w14:solidFill>
          </w14:textFill>
        </w:rPr>
        <w:t>根据“第一章 投标邀请”中投标人资格要求并按本章“三</w:t>
      </w:r>
      <w:r>
        <w:rPr>
          <w:rFonts w:cs="Helvetica"/>
          <w:color w:val="000000" w:themeColor="text1"/>
          <w:szCs w:val="24"/>
          <w:lang w:val="zh-CN"/>
          <w14:textFill>
            <w14:solidFill>
              <w14:schemeClr w14:val="tx1"/>
            </w14:solidFill>
          </w14:textFill>
        </w:rPr>
        <w:t>、</w:t>
      </w:r>
      <w:r>
        <w:rPr>
          <w:rFonts w:hint="eastAsia" w:cs="Helvetica"/>
          <w:color w:val="000000" w:themeColor="text1"/>
          <w:szCs w:val="24"/>
          <w:lang w:val="zh-CN"/>
          <w14:textFill>
            <w14:solidFill>
              <w14:schemeClr w14:val="tx1"/>
            </w14:solidFill>
          </w14:textFill>
        </w:rPr>
        <w:t>资格审查标准”所列的内容，对投标人资格进行审查，不满足资格审查标准要求的按</w:t>
      </w:r>
      <w:r>
        <w:rPr>
          <w:rFonts w:hint="eastAsia" w:cs="Helvetica"/>
          <w:b/>
          <w:color w:val="000000" w:themeColor="text1"/>
          <w:szCs w:val="24"/>
          <w:lang w:val="zh-CN"/>
          <w14:textFill>
            <w14:solidFill>
              <w14:schemeClr w14:val="tx1"/>
            </w14:solidFill>
          </w14:textFill>
        </w:rPr>
        <w:t>无效投标处理</w:t>
      </w:r>
      <w:r>
        <w:rPr>
          <w:rFonts w:hint="eastAsia" w:cs="Helvetica"/>
          <w:color w:val="000000" w:themeColor="text1"/>
          <w:szCs w:val="24"/>
          <w:lang w:val="zh-CN"/>
          <w14:textFill>
            <w14:solidFill>
              <w14:schemeClr w14:val="tx1"/>
            </w14:solidFill>
          </w14:textFill>
        </w:rPr>
        <w:t>。</w:t>
      </w:r>
      <w:bookmarkStart w:id="311" w:name="_Toc102116020"/>
      <w:bookmarkStart w:id="312" w:name="_Toc102114918"/>
      <w:bookmarkStart w:id="313" w:name="_Toc102056216"/>
      <w:bookmarkStart w:id="314" w:name="_Toc102057716"/>
      <w:bookmarkStart w:id="315" w:name="_Toc102119851"/>
      <w:bookmarkStart w:id="316" w:name="_Toc102116150"/>
      <w:bookmarkStart w:id="317" w:name="_Toc102056239"/>
      <w:bookmarkStart w:id="318" w:name="_Toc102119874"/>
      <w:bookmarkStart w:id="319" w:name="_Toc102114941"/>
      <w:bookmarkStart w:id="320" w:name="_Toc102116043"/>
      <w:bookmarkStart w:id="321" w:name="_Toc102057739"/>
      <w:bookmarkStart w:id="322" w:name="_Toc102116173"/>
    </w:p>
    <w:bookmarkEnd w:id="311"/>
    <w:bookmarkEnd w:id="312"/>
    <w:bookmarkEnd w:id="313"/>
    <w:bookmarkEnd w:id="314"/>
    <w:bookmarkEnd w:id="315"/>
    <w:bookmarkEnd w:id="316"/>
    <w:p w14:paraId="5D8DE4DF">
      <w:pPr>
        <w:pStyle w:val="5"/>
        <w:numPr>
          <w:ilvl w:val="0"/>
          <w:numId w:val="15"/>
        </w:numPr>
        <w:spacing w:before="0" w:after="0"/>
        <w:ind w:left="0"/>
        <w:rPr>
          <w:rFonts w:hint="eastAsia"/>
          <w:color w:val="000000" w:themeColor="text1"/>
          <w:lang w:val="zh-CN"/>
          <w14:textFill>
            <w14:solidFill>
              <w14:schemeClr w14:val="tx1"/>
            </w14:solidFill>
          </w14:textFill>
        </w:rPr>
      </w:pPr>
      <w:bookmarkStart w:id="323" w:name="_Toc2182"/>
      <w:bookmarkStart w:id="324" w:name="_Toc155185900"/>
      <w:r>
        <w:rPr>
          <w:rFonts w:hint="eastAsia"/>
          <w:color w:val="000000" w:themeColor="text1"/>
          <w:lang w:val="zh-CN"/>
          <w14:textFill>
            <w14:solidFill>
              <w14:schemeClr w14:val="tx1"/>
            </w14:solidFill>
          </w14:textFill>
        </w:rPr>
        <w:t>信</w:t>
      </w:r>
      <w:bookmarkStart w:id="325" w:name="_Hlk162301965"/>
      <w:r>
        <w:rPr>
          <w:rFonts w:hint="eastAsia"/>
          <w:color w:val="000000" w:themeColor="text1"/>
          <w:lang w:val="zh-CN"/>
          <w14:textFill>
            <w14:solidFill>
              <w14:schemeClr w14:val="tx1"/>
            </w14:solidFill>
          </w14:textFill>
        </w:rPr>
        <w:t>用信息核查</w:t>
      </w:r>
      <w:bookmarkEnd w:id="323"/>
      <w:bookmarkEnd w:id="325"/>
    </w:p>
    <w:p w14:paraId="69A5FB3C">
      <w:pPr>
        <w:pStyle w:val="91"/>
        <w:wordWrap/>
        <w:rPr>
          <w:rFonts w:hint="eastAsia"/>
          <w:color w:val="000000" w:themeColor="text1"/>
          <w14:textFill>
            <w14:solidFill>
              <w14:schemeClr w14:val="tx1"/>
            </w14:solidFill>
          </w14:textFill>
        </w:rPr>
      </w:pPr>
      <w:bookmarkStart w:id="326" w:name="_Hlk162301966"/>
      <w:r>
        <w:rPr>
          <w:rFonts w:hint="eastAsia"/>
          <w:color w:val="000000" w:themeColor="text1"/>
          <w14:textFill>
            <w14:solidFill>
              <w14:schemeClr w14:val="tx1"/>
            </w14:solidFill>
          </w14:textFill>
        </w:rPr>
        <w:t>1</w:t>
      </w:r>
      <w:r>
        <w:rPr>
          <w:color w:val="000000" w:themeColor="text1"/>
          <w14:textFill>
            <w14:solidFill>
              <w14:schemeClr w14:val="tx1"/>
            </w14:solidFill>
          </w14:textFill>
        </w:rPr>
        <w:t>.根据《关于在政府采购活动中查询及使用信用记录有关问题的通知》（财库〔2016〕125号）要求，投标人信用信息以“信用中国”网 (http://www.creditchina.gov.cn)和中国政府采购网(http://www.ccgp.gov.cn)查询的结果为准。</w:t>
      </w:r>
    </w:p>
    <w:p w14:paraId="29A40D39">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2.资格审查当日应当核查投标人信用记录，投标人被列入失信被执行人、重大税收违法失信主体、政府采购严重违法失信行为记录名单的，</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拒绝其参加政府采购活动。</w:t>
      </w:r>
    </w:p>
    <w:p w14:paraId="3933698B">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以联合体形式投标的，应当核查联合体所有成员的信用记录，联合体成员存在不良信用记录的，视同联合体存在不良信用信息。</w:t>
      </w:r>
    </w:p>
    <w:p w14:paraId="0ABF6DA7">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4.资格审查与评标工作未在同日进行的特殊情形下，</w:t>
      </w:r>
      <w:r>
        <w:rPr>
          <w:rFonts w:hint="eastAsia"/>
          <w:color w:val="000000" w:themeColor="text1"/>
          <w14:textFill>
            <w14:solidFill>
              <w14:schemeClr w14:val="tx1"/>
            </w14:solidFill>
          </w14:textFill>
        </w:rPr>
        <w:t>采购代理机构</w:t>
      </w:r>
      <w:r>
        <w:rPr>
          <w:color w:val="000000" w:themeColor="text1"/>
          <w14:textFill>
            <w14:solidFill>
              <w14:schemeClr w14:val="tx1"/>
            </w14:solidFill>
          </w14:textFill>
        </w:rPr>
        <w:t>工作人员在评标时应当对投标人的信用信息进行复核，发现评标当日存在不良信用信息的，由评标委员会按照符合性审查不合格作</w:t>
      </w:r>
      <w:r>
        <w:rPr>
          <w:b/>
          <w:bCs/>
          <w:color w:val="000000" w:themeColor="text1"/>
          <w14:textFill>
            <w14:solidFill>
              <w14:schemeClr w14:val="tx1"/>
            </w14:solidFill>
          </w14:textFill>
        </w:rPr>
        <w:t>无效投标</w:t>
      </w:r>
      <w:r>
        <w:rPr>
          <w:color w:val="000000" w:themeColor="text1"/>
          <w14:textFill>
            <w14:solidFill>
              <w14:schemeClr w14:val="tx1"/>
            </w14:solidFill>
          </w14:textFill>
        </w:rPr>
        <w:t>处理。</w:t>
      </w:r>
      <w:bookmarkEnd w:id="326"/>
    </w:p>
    <w:p w14:paraId="653DD9FC">
      <w:pPr>
        <w:pStyle w:val="5"/>
        <w:numPr>
          <w:ilvl w:val="0"/>
          <w:numId w:val="15"/>
        </w:numPr>
        <w:spacing w:before="0" w:after="0"/>
        <w:ind w:left="0"/>
        <w:rPr>
          <w:rFonts w:hint="eastAsia"/>
          <w:color w:val="000000" w:themeColor="text1"/>
          <w:lang w:val="zh-CN"/>
          <w14:textFill>
            <w14:solidFill>
              <w14:schemeClr w14:val="tx1"/>
            </w14:solidFill>
          </w14:textFill>
        </w:rPr>
      </w:pPr>
      <w:bookmarkStart w:id="327" w:name="_Toc22752"/>
      <w:r>
        <w:rPr>
          <w:rFonts w:hint="eastAsia"/>
          <w:color w:val="000000" w:themeColor="text1"/>
          <w:lang w:val="zh-CN"/>
          <w14:textFill>
            <w14:solidFill>
              <w14:schemeClr w14:val="tx1"/>
            </w14:solidFill>
          </w14:textFill>
        </w:rPr>
        <w:t>资格审查</w:t>
      </w:r>
      <w:bookmarkEnd w:id="317"/>
      <w:bookmarkEnd w:id="318"/>
      <w:bookmarkEnd w:id="319"/>
      <w:bookmarkEnd w:id="320"/>
      <w:bookmarkEnd w:id="321"/>
      <w:bookmarkEnd w:id="322"/>
      <w:r>
        <w:rPr>
          <w:rFonts w:hint="eastAsia"/>
          <w:color w:val="000000" w:themeColor="text1"/>
          <w:lang w:val="zh-CN"/>
          <w14:textFill>
            <w14:solidFill>
              <w14:schemeClr w14:val="tx1"/>
            </w14:solidFill>
          </w14:textFill>
        </w:rPr>
        <w:t>结果</w:t>
      </w:r>
      <w:bookmarkEnd w:id="324"/>
      <w:bookmarkEnd w:id="327"/>
    </w:p>
    <w:p w14:paraId="7C7881B1">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根据资格审查的情况，确定资格审查合格的投标人，并形成资格审查结果。</w:t>
      </w:r>
    </w:p>
    <w:p w14:paraId="0A5EFED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资格审查合格投标人不足3家的，不得评标，应予以</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w:t>
      </w:r>
    </w:p>
    <w:p w14:paraId="4AABD67C">
      <w:pPr>
        <w:pStyle w:val="95"/>
        <w:rPr>
          <w:rFonts w:hint="eastAsia"/>
          <w:color w:val="000000" w:themeColor="text1"/>
          <w14:textFill>
            <w14:solidFill>
              <w14:schemeClr w14:val="tx1"/>
            </w14:solidFill>
          </w14:textFill>
        </w:rPr>
        <w:sectPr>
          <w:pgSz w:w="11906" w:h="16838"/>
          <w:pgMar w:top="1440" w:right="1440" w:bottom="1440" w:left="1440" w:header="851" w:footer="992" w:gutter="0"/>
          <w:cols w:space="720" w:num="1"/>
          <w:docGrid w:linePitch="312" w:charSpace="0"/>
        </w:sectPr>
      </w:pPr>
    </w:p>
    <w:p w14:paraId="48544174">
      <w:pPr>
        <w:pStyle w:val="4"/>
        <w:numPr>
          <w:ilvl w:val="0"/>
          <w:numId w:val="14"/>
        </w:numPr>
        <w:spacing w:before="0" w:after="0"/>
        <w:ind w:left="0"/>
        <w:rPr>
          <w:rFonts w:hint="eastAsia"/>
          <w:color w:val="000000" w:themeColor="text1"/>
          <w14:textFill>
            <w14:solidFill>
              <w14:schemeClr w14:val="tx1"/>
            </w14:solidFill>
          </w14:textFill>
        </w:rPr>
      </w:pPr>
      <w:bookmarkStart w:id="328" w:name="_Toc1188"/>
      <w:bookmarkStart w:id="329" w:name="_Toc61280398"/>
      <w:bookmarkStart w:id="330" w:name="_Toc511894514"/>
      <w:bookmarkStart w:id="331" w:name="_Toc109899480"/>
      <w:bookmarkStart w:id="332" w:name="_Toc109900318"/>
      <w:bookmarkStart w:id="333" w:name="_Toc140132821"/>
      <w:bookmarkStart w:id="334" w:name="_Toc109899899"/>
      <w:bookmarkStart w:id="335" w:name="_Toc494561958"/>
      <w:bookmarkStart w:id="336" w:name="_Toc155185896"/>
      <w:bookmarkStart w:id="337" w:name="_Toc155185903"/>
      <w:r>
        <w:rPr>
          <w:rFonts w:hint="eastAsia" w:eastAsia="等线 Light" w:cs="宋体"/>
          <w:color w:val="000000" w:themeColor="text1"/>
          <w:kern w:val="0"/>
          <w:szCs w:val="21"/>
          <w14:textFill>
            <w14:solidFill>
              <w14:schemeClr w14:val="tx1"/>
            </w14:solidFill>
          </w14:textFill>
        </w:rPr>
        <w:t>资格审查标准</w:t>
      </w:r>
      <w:bookmarkEnd w:id="328"/>
    </w:p>
    <w:tbl>
      <w:tblPr>
        <w:tblStyle w:val="8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66"/>
        <w:gridCol w:w="2739"/>
        <w:gridCol w:w="4917"/>
      </w:tblGrid>
      <w:tr w14:paraId="405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shd w:val="clear" w:color="auto" w:fill="D8D8D8"/>
            <w:vAlign w:val="center"/>
          </w:tcPr>
          <w:p w14:paraId="766871DD">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2739" w:type="dxa"/>
            <w:shd w:val="clear" w:color="auto" w:fill="D8D8D8"/>
            <w:vAlign w:val="center"/>
          </w:tcPr>
          <w:p w14:paraId="0108F695">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资格要求</w:t>
            </w:r>
          </w:p>
        </w:tc>
        <w:tc>
          <w:tcPr>
            <w:tcW w:w="4917" w:type="dxa"/>
            <w:shd w:val="clear" w:color="auto" w:fill="D8D8D8"/>
            <w:vAlign w:val="center"/>
          </w:tcPr>
          <w:p w14:paraId="695D8D00">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审查内容</w:t>
            </w:r>
          </w:p>
        </w:tc>
      </w:tr>
      <w:tr w14:paraId="0417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restart"/>
            <w:vAlign w:val="center"/>
          </w:tcPr>
          <w:p w14:paraId="6C852CAC">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35B3AABF">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具有独立承担民事责任的能力</w:t>
            </w:r>
          </w:p>
        </w:tc>
        <w:tc>
          <w:tcPr>
            <w:tcW w:w="4917" w:type="dxa"/>
            <w:vAlign w:val="center"/>
          </w:tcPr>
          <w:p w14:paraId="352583C3">
            <w:pPr>
              <w:pStyle w:val="95"/>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法人或者其他组织的营业执照等证明文件，自然人的身份证明</w:t>
            </w:r>
            <w:r>
              <w:rPr>
                <w:rFonts w:hint="eastAsia"/>
                <w:color w:val="000000" w:themeColor="text1"/>
                <w14:textFill>
                  <w14:solidFill>
                    <w14:schemeClr w14:val="tx1"/>
                  </w14:solidFill>
                </w14:textFill>
              </w:rPr>
              <w:t>。</w:t>
            </w:r>
          </w:p>
          <w:p w14:paraId="61D67BAC">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（1）企业应提供“营业执照”；</w:t>
            </w:r>
          </w:p>
          <w:p w14:paraId="6E670298">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（2）事业单位应提供“事业单位法人证书”；</w:t>
            </w:r>
          </w:p>
          <w:p w14:paraId="41FF466D">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（3）非企业专业服务机构应提供执业许可证等证明文件；</w:t>
            </w:r>
          </w:p>
          <w:p w14:paraId="1214CFEF">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（4）个体工商户应提供“个体工商户营业执照”；</w:t>
            </w:r>
          </w:p>
          <w:p w14:paraId="695F03C4">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（5）自然人应提供自然人身份证明。</w:t>
            </w:r>
          </w:p>
        </w:tc>
      </w:tr>
      <w:tr w14:paraId="3D70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24E2D0C6">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485105AF">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具有良好的商业信誉和健全的财务会计制度</w:t>
            </w:r>
          </w:p>
        </w:tc>
        <w:tc>
          <w:tcPr>
            <w:tcW w:w="4917" w:type="dxa"/>
            <w:vAlign w:val="center"/>
          </w:tcPr>
          <w:p w14:paraId="045FAE57">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由投标人对以下内容提供相应证明材料。</w:t>
            </w:r>
          </w:p>
          <w:p w14:paraId="18203C2D">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（1）投标人是法人的，应具有2024年度</w:t>
            </w:r>
            <w:r>
              <w:rPr>
                <w:color w:val="000000" w:themeColor="text1"/>
                <w14:textFill>
                  <w14:solidFill>
                    <w14:schemeClr w14:val="tx1"/>
                  </w14:solidFill>
                </w14:textFill>
              </w:rPr>
              <w:t>经审计的财务报告，或其基本开户银行出具的资信证明。其他组织和自然人，没有经审计的财务报告，应具有银行出具的资信证明。</w:t>
            </w:r>
          </w:p>
          <w:p w14:paraId="6DCA1A7F">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（2）有专业担保机构对投标人进行资信审查后出具投标担保函的，可以不用具备经审计的财务报告和银行资信证明文件。</w:t>
            </w:r>
          </w:p>
        </w:tc>
      </w:tr>
      <w:tr w14:paraId="6EBE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726688DD">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7C1115FD">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具有履行合同所必需的设备和专业技术能力</w:t>
            </w:r>
          </w:p>
        </w:tc>
        <w:tc>
          <w:tcPr>
            <w:tcW w:w="4917" w:type="dxa"/>
            <w:vAlign w:val="center"/>
          </w:tcPr>
          <w:p w14:paraId="5EA7E092">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由供应商提供书面承诺或声明，或提供相应证明材料。</w:t>
            </w:r>
          </w:p>
        </w:tc>
      </w:tr>
      <w:tr w14:paraId="3DC4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521D71FD">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301945AD">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有依法缴纳税收和社会保障资金的良好记录</w:t>
            </w:r>
          </w:p>
        </w:tc>
        <w:tc>
          <w:tcPr>
            <w:tcW w:w="4917" w:type="dxa"/>
            <w:vAlign w:val="center"/>
          </w:tcPr>
          <w:p w14:paraId="6F3670D8">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由投标人对以下内容提供相应证明材料。</w:t>
            </w:r>
          </w:p>
          <w:p w14:paraId="7EE84BF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（1）投标人依法缴纳税收：本项目公告发布时间前</w:t>
            </w:r>
            <w:r>
              <w:rPr>
                <w:color w:val="000000" w:themeColor="text1"/>
                <w14:textFill>
                  <w14:solidFill>
                    <w14:schemeClr w14:val="tx1"/>
                  </w14:solidFill>
                </w14:textFill>
              </w:rPr>
              <w:t>12个月内（至少有</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个月）缴纳税收的凭据（完税证、缴款书、印花税票、银行代扣（代缴）转账凭证等均可）；</w:t>
            </w:r>
          </w:p>
          <w:p w14:paraId="3B9D00EB">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（2）投标人依法缴纳社会保障资金：本项目公告发布时间前</w:t>
            </w:r>
            <w:r>
              <w:rPr>
                <w:color w:val="000000" w:themeColor="text1"/>
                <w14:textFill>
                  <w14:solidFill>
                    <w14:schemeClr w14:val="tx1"/>
                  </w14:solidFill>
                </w14:textFill>
              </w:rPr>
              <w:t>12个月内（至少有</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个月）缴纳社会保险的凭据（专用收据或社会保险交纳清单）；</w:t>
            </w:r>
          </w:p>
          <w:p w14:paraId="0FD9149E">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（3）投标人为其他组织或自然人的，也应满足以上要求；</w:t>
            </w:r>
          </w:p>
          <w:p w14:paraId="3B3F9E62">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（4）递交投标文件截止时间的当月成立但因税务机关原因导致其尚未依法缴纳税收的投标人，提供将依法缴纳税收承诺书原件（格式自拟），该承诺书视同税收缴纳凭据；</w:t>
            </w:r>
          </w:p>
          <w:p w14:paraId="017C0C57">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（5）递交投标文件截止时间的当月成立但因社会保障资金管理机关原因导致其尚未依法缴纳社会保障资金的投标人，提供将依法缴纳社会保障资金承诺书原件（格式自拟），该承诺书视同社会保险凭据；</w:t>
            </w:r>
          </w:p>
          <w:p w14:paraId="393E2D10">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（6）依法免税或不需要缴纳社会保障资金的投标人，具有相应文件证明其依法免税或不需要交纳社会保障资金。</w:t>
            </w:r>
          </w:p>
        </w:tc>
      </w:tr>
      <w:tr w14:paraId="321D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Merge w:val="continue"/>
            <w:vAlign w:val="center"/>
          </w:tcPr>
          <w:p w14:paraId="1FD3B494">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2B4244C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参加政府采购活动前三年内，在经营活动中没有重大违法记录</w:t>
            </w:r>
          </w:p>
        </w:tc>
        <w:tc>
          <w:tcPr>
            <w:tcW w:w="4917" w:type="dxa"/>
            <w:vAlign w:val="center"/>
          </w:tcPr>
          <w:p w14:paraId="0A739F85">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由供应商提供书面承诺或声明，或提供相应证明材料。</w:t>
            </w:r>
          </w:p>
        </w:tc>
      </w:tr>
      <w:tr w14:paraId="7DC4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211F469C">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7262E031">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单位负责人为同一人或者存在直接控股、管理关系的不同投标人，不得参加本项目同一合同项下的政府采购活动</w:t>
            </w:r>
          </w:p>
        </w:tc>
        <w:tc>
          <w:tcPr>
            <w:tcW w:w="4917" w:type="dxa"/>
            <w:vAlign w:val="center"/>
          </w:tcPr>
          <w:p w14:paraId="77CACD0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由投标人在《投标函》中声明</w:t>
            </w:r>
          </w:p>
        </w:tc>
      </w:tr>
      <w:tr w14:paraId="4EFB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6AF675D2">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1BF2D3EC">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联合体成员单位负责人为同一人或者存在直接控股、管理关系的不同投标人，不得参加本项目同一合同项下的政府采购活动</w:t>
            </w:r>
          </w:p>
        </w:tc>
        <w:tc>
          <w:tcPr>
            <w:tcW w:w="4917" w:type="dxa"/>
            <w:vAlign w:val="center"/>
          </w:tcPr>
          <w:p w14:paraId="377156B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由投标人在《投标函》中声明</w:t>
            </w:r>
          </w:p>
        </w:tc>
      </w:tr>
      <w:tr w14:paraId="2505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6F99F6D9">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7C5E1A94">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为本采购项目提供整体设计、规范编制或者项目管理、监理、检测等服务的，不得再参加本项目的其他招标采购活动。</w:t>
            </w:r>
          </w:p>
        </w:tc>
        <w:tc>
          <w:tcPr>
            <w:tcW w:w="4917" w:type="dxa"/>
            <w:vAlign w:val="center"/>
          </w:tcPr>
          <w:p w14:paraId="7589B3E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由投标人在《投标函》中声明</w:t>
            </w:r>
          </w:p>
        </w:tc>
      </w:tr>
      <w:tr w14:paraId="722D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6C354C8B">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44EE08A0">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未被列入失信被执行人、“重大税收违法失信主体”，未被列入政府采购严重违法失信行为记录名单。</w:t>
            </w:r>
          </w:p>
        </w:tc>
        <w:tc>
          <w:tcPr>
            <w:tcW w:w="4917" w:type="dxa"/>
            <w:vAlign w:val="center"/>
          </w:tcPr>
          <w:p w14:paraId="515A1475">
            <w:pPr>
              <w:pStyle w:val="95"/>
              <w:jc w:val="both"/>
              <w:rPr>
                <w:rFonts w:hint="eastAsia"/>
                <w:color w:val="000000" w:themeColor="text1"/>
                <w14:textFill>
                  <w14:solidFill>
                    <w14:schemeClr w14:val="tx1"/>
                  </w14:solidFill>
                </w14:textFill>
              </w:rPr>
            </w:pPr>
            <w:r>
              <w:rPr>
                <w:color w:val="000000" w:themeColor="text1"/>
                <w14:textFill>
                  <w14:solidFill>
                    <w14:schemeClr w14:val="tx1"/>
                  </w14:solidFill>
                </w14:textFill>
              </w:rPr>
              <w:t>以采购人和采购代理机构在投标截止日在“信用中国”网站（www.creditchina.gov.cn）及中国政府采购网(www.ccgp.gov.cn)查询</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投标人</w:t>
            </w:r>
            <w:r>
              <w:rPr>
                <w:rFonts w:hint="eastAsia"/>
                <w:color w:val="000000" w:themeColor="text1"/>
                <w14:textFill>
                  <w14:solidFill>
                    <w14:schemeClr w14:val="tx1"/>
                  </w14:solidFill>
                </w14:textFill>
              </w:rPr>
              <w:t>参加政府采购活动前三年内的</w:t>
            </w:r>
            <w:r>
              <w:rPr>
                <w:color w:val="000000" w:themeColor="text1"/>
                <w14:textFill>
                  <w14:solidFill>
                    <w14:schemeClr w14:val="tx1"/>
                  </w14:solidFill>
                </w14:textFill>
              </w:rPr>
              <w:t>结果为准（采购人和采购代理机构对信用信息查询记录和证据截图或下载存档）</w:t>
            </w:r>
            <w:r>
              <w:rPr>
                <w:rFonts w:hint="eastAsia"/>
                <w:color w:val="000000" w:themeColor="text1"/>
                <w14:textFill>
                  <w14:solidFill>
                    <w14:schemeClr w14:val="tx1"/>
                  </w14:solidFill>
                </w14:textFill>
              </w:rPr>
              <w:t>。</w:t>
            </w:r>
          </w:p>
        </w:tc>
      </w:tr>
      <w:tr w14:paraId="2CD9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1EC7BEC7">
            <w:pPr>
              <w:pStyle w:val="95"/>
              <w:numPr>
                <w:ilvl w:val="0"/>
                <w:numId w:val="16"/>
              </w:numPr>
              <w:rPr>
                <w:rFonts w:hint="eastAsia"/>
                <w:color w:val="000000" w:themeColor="text1"/>
                <w14:textFill>
                  <w14:solidFill>
                    <w14:schemeClr w14:val="tx1"/>
                  </w14:solidFill>
                </w14:textFill>
              </w:rPr>
            </w:pPr>
          </w:p>
        </w:tc>
        <w:tc>
          <w:tcPr>
            <w:tcW w:w="2739" w:type="dxa"/>
          </w:tcPr>
          <w:p w14:paraId="27709E6D">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落实政府采购政策需满足的资格要求</w:t>
            </w:r>
          </w:p>
        </w:tc>
        <w:tc>
          <w:tcPr>
            <w:tcW w:w="4917" w:type="dxa"/>
            <w:vAlign w:val="center"/>
          </w:tcPr>
          <w:p w14:paraId="1CC41BEA">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支持中小企业发展资格要求：提供《中小企业声明函》，本项目投标人属于监狱企业或者残疾人福利性单位的，同时提供监狱企业证明材料或者《残疾人福利性单位声明函》；</w:t>
            </w:r>
          </w:p>
          <w:p w14:paraId="755EA11F">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其他政府采购政策需满足的资格要求：落实政府采购强制、优先采购节能产品政策；政府采购优先采购环保产品政策；政府采购促进中小企业发展（监狱企业、残疾人福利性单位视同小微企业）等政策。</w:t>
            </w:r>
          </w:p>
        </w:tc>
      </w:tr>
      <w:tr w14:paraId="724B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866" w:type="dxa"/>
            <w:vAlign w:val="center"/>
          </w:tcPr>
          <w:p w14:paraId="178B68E6">
            <w:pPr>
              <w:pStyle w:val="95"/>
              <w:numPr>
                <w:ilvl w:val="0"/>
                <w:numId w:val="16"/>
              </w:numPr>
              <w:rPr>
                <w:rFonts w:hint="eastAsia"/>
                <w:color w:val="000000" w:themeColor="text1"/>
                <w14:textFill>
                  <w14:solidFill>
                    <w14:schemeClr w14:val="tx1"/>
                  </w14:solidFill>
                </w14:textFill>
              </w:rPr>
            </w:pPr>
          </w:p>
        </w:tc>
        <w:tc>
          <w:tcPr>
            <w:tcW w:w="2739" w:type="dxa"/>
            <w:vAlign w:val="center"/>
          </w:tcPr>
          <w:p w14:paraId="6664D487">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本项目的特定资格要求</w:t>
            </w:r>
          </w:p>
        </w:tc>
        <w:tc>
          <w:tcPr>
            <w:tcW w:w="4917" w:type="dxa"/>
            <w:vAlign w:val="center"/>
          </w:tcPr>
          <w:p w14:paraId="343E3087">
            <w:pPr>
              <w:pStyle w:val="95"/>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bl>
    <w:p w14:paraId="3DA84610">
      <w:pP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p w14:paraId="2B61F66A">
      <w:pPr>
        <w:pStyle w:val="92"/>
        <w:numPr>
          <w:ilvl w:val="0"/>
          <w:numId w:val="17"/>
        </w:numPr>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资格证明文件应为原件的扫描件或复印件，投标文件中须编入清晰的扫描件或复印件。所有证明材料须清晰可辨认</w:t>
      </w:r>
      <w:r>
        <w:rPr>
          <w:rFonts w:hint="eastAsia"/>
          <w:color w:val="000000" w:themeColor="text1"/>
          <w14:textFill>
            <w14:solidFill>
              <w14:schemeClr w14:val="tx1"/>
            </w14:solidFill>
          </w14:textFill>
        </w:rPr>
        <w:t>且加盖公章</w:t>
      </w:r>
      <w:r>
        <w:rPr>
          <w:color w:val="000000" w:themeColor="text1"/>
          <w14:textFill>
            <w14:solidFill>
              <w14:schemeClr w14:val="tx1"/>
            </w14:solidFill>
          </w14:textFill>
        </w:rPr>
        <w:t>，如因证明材料模糊无法辨认，缺页、漏页</w:t>
      </w:r>
      <w:r>
        <w:rPr>
          <w:rFonts w:hint="eastAsia"/>
          <w:color w:val="000000" w:themeColor="text1"/>
          <w14:textFill>
            <w14:solidFill>
              <w14:schemeClr w14:val="tx1"/>
            </w14:solidFill>
          </w14:textFill>
        </w:rPr>
        <w:t>或未加盖公章</w:t>
      </w:r>
      <w:r>
        <w:rPr>
          <w:color w:val="000000" w:themeColor="text1"/>
          <w14:textFill>
            <w14:solidFill>
              <w14:schemeClr w14:val="tx1"/>
            </w14:solidFill>
          </w14:textFill>
        </w:rPr>
        <w:t>导致无法进行评审认定的责任由投标人自负。</w:t>
      </w:r>
    </w:p>
    <w:p w14:paraId="0083895C">
      <w:pPr>
        <w:pStyle w:val="92"/>
        <w:numPr>
          <w:ilvl w:val="0"/>
          <w:numId w:val="17"/>
        </w:numPr>
        <w:ind w:left="0"/>
        <w:rPr>
          <w:rFonts w:hint="eastAsia"/>
          <w:color w:val="000000" w:themeColor="text1"/>
          <w14:textFill>
            <w14:solidFill>
              <w14:schemeClr w14:val="tx1"/>
            </w14:solidFill>
          </w14:textFill>
        </w:rPr>
      </w:pPr>
      <w:r>
        <w:rPr>
          <w:rFonts w:hint="eastAsia"/>
          <w:color w:val="000000" w:themeColor="text1"/>
          <w:lang w:val="zh-CN"/>
          <w14:textFill>
            <w14:solidFill>
              <w14:schemeClr w14:val="tx1"/>
            </w14:solidFill>
          </w14:textFill>
        </w:rPr>
        <w:t>信用信息核</w:t>
      </w:r>
      <w:r>
        <w:rPr>
          <w:rFonts w:hint="eastAsia"/>
          <w:color w:val="000000" w:themeColor="text1"/>
          <w14:textFill>
            <w14:solidFill>
              <w14:schemeClr w14:val="tx1"/>
            </w14:solidFill>
          </w14:textFill>
        </w:rPr>
        <w:t>查</w:t>
      </w:r>
    </w:p>
    <w:p w14:paraId="535F6AEB">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资格审查当日应当核查投标人信用记录，投标人被列入失信被执行人、重大税收违法案件当事人名单、政府采购严重违法失信行为记录名单的，采购代理机构拒绝其参与政府采购活动。</w:t>
      </w:r>
    </w:p>
    <w:p w14:paraId="12676F2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以联合体形式投标的，应当核查联合体所有成员和信用记录，联合体成员存在不良信用记录的，视同联合体存在不良信用信息。</w:t>
      </w:r>
    </w:p>
    <w:p w14:paraId="1D57DB72">
      <w:pPr>
        <w:pStyle w:val="92"/>
        <w:numPr>
          <w:ilvl w:val="0"/>
          <w:numId w:val="17"/>
        </w:numPr>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对于投标文件中有任意一条不满足上表要求的将导致其</w:t>
      </w:r>
      <w:r>
        <w:rPr>
          <w:b/>
          <w:bCs/>
          <w:color w:val="000000" w:themeColor="text1"/>
          <w14:textFill>
            <w14:solidFill>
              <w14:schemeClr w14:val="tx1"/>
            </w14:solidFill>
          </w14:textFill>
        </w:rPr>
        <w:t>投标无效</w:t>
      </w:r>
      <w:r>
        <w:rPr>
          <w:color w:val="000000" w:themeColor="text1"/>
          <w14:textFill>
            <w14:solidFill>
              <w14:schemeClr w14:val="tx1"/>
            </w14:solidFill>
          </w14:textFill>
        </w:rPr>
        <w:t>，不进入下一项评审。</w:t>
      </w:r>
      <w:bookmarkEnd w:id="329"/>
      <w:bookmarkEnd w:id="330"/>
      <w:bookmarkEnd w:id="331"/>
      <w:bookmarkEnd w:id="332"/>
      <w:bookmarkEnd w:id="333"/>
      <w:bookmarkEnd w:id="334"/>
      <w:bookmarkEnd w:id="335"/>
      <w:bookmarkEnd w:id="336"/>
    </w:p>
    <w:p w14:paraId="41183E20">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36CDFFD3">
      <w:pPr>
        <w:pStyle w:val="3"/>
        <w:spacing w:before="0" w:after="0"/>
        <w:rPr>
          <w:rFonts w:hint="eastAsia"/>
          <w:color w:val="000000" w:themeColor="text1"/>
          <w14:textFill>
            <w14:solidFill>
              <w14:schemeClr w14:val="tx1"/>
            </w14:solidFill>
          </w14:textFill>
        </w:rPr>
      </w:pPr>
      <w:bookmarkStart w:id="338" w:name="_Toc14034"/>
      <w:r>
        <w:rPr>
          <w:rFonts w:hint="eastAsia"/>
          <w:color w:val="000000" w:themeColor="text1"/>
          <w14:textFill>
            <w14:solidFill>
              <w14:schemeClr w14:val="tx1"/>
            </w14:solidFill>
          </w14:textFill>
        </w:rPr>
        <w:t>第五章 评标办法</w:t>
      </w:r>
      <w:bookmarkEnd w:id="337"/>
      <w:r>
        <w:rPr>
          <w:rFonts w:hint="eastAsia"/>
          <w:color w:val="000000" w:themeColor="text1"/>
          <w14:textFill>
            <w14:solidFill>
              <w14:schemeClr w14:val="tx1"/>
            </w14:solidFill>
          </w14:textFill>
        </w:rPr>
        <w:t>及标准</w:t>
      </w:r>
      <w:bookmarkEnd w:id="338"/>
    </w:p>
    <w:p w14:paraId="5BF4DEB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根据《中华人民共和国政府采购法》及其实施条例、《政府采购货物和服务招标投标管理办法》相关法律法规确定以下评标办法及标准。</w:t>
      </w:r>
    </w:p>
    <w:p w14:paraId="5536DC65">
      <w:pPr>
        <w:pStyle w:val="4"/>
        <w:numPr>
          <w:ilvl w:val="0"/>
          <w:numId w:val="18"/>
        </w:numPr>
        <w:spacing w:before="0" w:after="0"/>
        <w:ind w:left="0"/>
        <w:rPr>
          <w:rFonts w:hint="eastAsia"/>
          <w:color w:val="000000" w:themeColor="text1"/>
          <w:lang w:val="zh-CN"/>
          <w14:textFill>
            <w14:solidFill>
              <w14:schemeClr w14:val="tx1"/>
            </w14:solidFill>
          </w14:textFill>
        </w:rPr>
      </w:pPr>
      <w:bookmarkStart w:id="339" w:name="_Toc7179"/>
      <w:bookmarkStart w:id="340" w:name="_Toc61280402"/>
      <w:bookmarkStart w:id="341" w:name="_Toc109899484"/>
      <w:bookmarkStart w:id="342" w:name="_Toc272247709"/>
      <w:bookmarkStart w:id="343" w:name="_Toc109900322"/>
      <w:bookmarkStart w:id="344" w:name="_Toc511894518"/>
      <w:bookmarkStart w:id="345" w:name="_Toc140132826"/>
      <w:bookmarkStart w:id="346" w:name="_Toc278891606"/>
      <w:bookmarkStart w:id="347" w:name="_Toc109899903"/>
      <w:bookmarkStart w:id="348" w:name="_Toc494561962"/>
      <w:bookmarkStart w:id="349" w:name="_Toc155185905"/>
      <w:r>
        <w:rPr>
          <w:rFonts w:hint="eastAsia"/>
          <w:color w:val="000000" w:themeColor="text1"/>
          <w:lang w:val="zh-CN"/>
          <w14:textFill>
            <w14:solidFill>
              <w14:schemeClr w14:val="tx1"/>
            </w14:solidFill>
          </w14:textFill>
        </w:rPr>
        <w:t>评标办法前附表</w:t>
      </w:r>
      <w:bookmarkEnd w:id="339"/>
    </w:p>
    <w:p w14:paraId="09DE81B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下面所列资料是对评标方法和评标程序的具体补充和说明。如有矛盾，应以本表为准。</w:t>
      </w:r>
    </w:p>
    <w:tbl>
      <w:tblPr>
        <w:tblStyle w:val="81"/>
        <w:tblW w:w="8531"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0"/>
        <w:gridCol w:w="5841"/>
      </w:tblGrid>
      <w:tr w14:paraId="45B35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vAlign w:val="center"/>
          </w:tcPr>
          <w:p w14:paraId="380A5688">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vAlign w:val="center"/>
          </w:tcPr>
          <w:p w14:paraId="7B75D4AC">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条款名称</w:t>
            </w:r>
          </w:p>
        </w:tc>
        <w:tc>
          <w:tcPr>
            <w:tcW w:w="5841" w:type="dxa"/>
            <w:tcBorders>
              <w:top w:val="single" w:color="auto" w:sz="4" w:space="0"/>
              <w:left w:val="single" w:color="auto" w:sz="4" w:space="0"/>
              <w:bottom w:val="single" w:color="auto" w:sz="4" w:space="0"/>
              <w:right w:val="single" w:color="auto" w:sz="4" w:space="0"/>
            </w:tcBorders>
            <w:shd w:val="clear" w:color="auto" w:fill="D8D8D8"/>
            <w:vAlign w:val="center"/>
          </w:tcPr>
          <w:p w14:paraId="14FFE005">
            <w:pPr>
              <w:pStyle w:val="95"/>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内  容</w:t>
            </w:r>
          </w:p>
        </w:tc>
      </w:tr>
      <w:tr w14:paraId="24A93F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tcBorders>
            <w:vAlign w:val="center"/>
          </w:tcPr>
          <w:p w14:paraId="37C521D5">
            <w:pPr>
              <w:pStyle w:val="95"/>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7.1</w:t>
            </w:r>
          </w:p>
        </w:tc>
        <w:tc>
          <w:tcPr>
            <w:tcW w:w="1720" w:type="dxa"/>
            <w:tcBorders>
              <w:top w:val="single" w:color="auto" w:sz="4" w:space="0"/>
            </w:tcBorders>
            <w:vAlign w:val="center"/>
          </w:tcPr>
          <w:p w14:paraId="0A05EDC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修正</w:t>
            </w:r>
            <w:r>
              <w:rPr>
                <w:rFonts w:hint="eastAsia"/>
                <w:color w:val="000000" w:themeColor="text1"/>
                <w14:textFill>
                  <w14:solidFill>
                    <w14:schemeClr w14:val="tx1"/>
                  </w14:solidFill>
                </w14:textFill>
              </w:rPr>
              <w:t>规定</w:t>
            </w:r>
          </w:p>
        </w:tc>
        <w:tc>
          <w:tcPr>
            <w:tcW w:w="5841" w:type="dxa"/>
            <w:tcBorders>
              <w:top w:val="single" w:color="auto" w:sz="4" w:space="0"/>
            </w:tcBorders>
            <w:vAlign w:val="center"/>
          </w:tcPr>
          <w:p w14:paraId="53B9F1F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投标文件中开标一览表内容与投标文件中相应内容不一致的，以开标一览表为准</w:t>
            </w:r>
            <w:r>
              <w:rPr>
                <w:rFonts w:hint="eastAsia"/>
                <w:color w:val="000000" w:themeColor="text1"/>
                <w14:textFill>
                  <w14:solidFill>
                    <w14:schemeClr w14:val="tx1"/>
                  </w14:solidFill>
                </w14:textFill>
              </w:rPr>
              <w:t>；</w:t>
            </w:r>
          </w:p>
          <w:p w14:paraId="02C26C7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大写金额和小写金额不一致的，以大写金额为准</w:t>
            </w:r>
            <w:r>
              <w:rPr>
                <w:rFonts w:hint="eastAsia"/>
                <w:color w:val="000000" w:themeColor="text1"/>
                <w14:textFill>
                  <w14:solidFill>
                    <w14:schemeClr w14:val="tx1"/>
                  </w14:solidFill>
                </w14:textFill>
              </w:rPr>
              <w:t>；</w:t>
            </w:r>
          </w:p>
          <w:p w14:paraId="6DF6F1C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单价金额小数点或百分比有明显错位的，以开标一览表的总价为准，并修改单价</w:t>
            </w:r>
            <w:r>
              <w:rPr>
                <w:rFonts w:hint="eastAsia"/>
                <w:color w:val="000000" w:themeColor="text1"/>
                <w14:textFill>
                  <w14:solidFill>
                    <w14:schemeClr w14:val="tx1"/>
                  </w14:solidFill>
                </w14:textFill>
              </w:rPr>
              <w:t>；</w:t>
            </w:r>
          </w:p>
          <w:p w14:paraId="503345D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总价金额与按单价汇总金额不一致的，以单价金额计算结果为准</w:t>
            </w:r>
            <w:r>
              <w:rPr>
                <w:rFonts w:hint="eastAsia"/>
                <w:color w:val="000000" w:themeColor="text1"/>
                <w14:textFill>
                  <w14:solidFill>
                    <w14:schemeClr w14:val="tx1"/>
                  </w14:solidFill>
                </w14:textFill>
              </w:rPr>
              <w:t>；</w:t>
            </w:r>
          </w:p>
          <w:p w14:paraId="2538365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同时出现两种以上不一致的，按照前款规定的顺序修正</w:t>
            </w:r>
            <w:r>
              <w:rPr>
                <w:rFonts w:hint="eastAsia"/>
                <w:color w:val="000000" w:themeColor="text1"/>
                <w14:textFill>
                  <w14:solidFill>
                    <w14:schemeClr w14:val="tx1"/>
                  </w14:solidFill>
                </w14:textFill>
              </w:rPr>
              <w:t>。</w:t>
            </w:r>
          </w:p>
          <w:p w14:paraId="3CD155A4">
            <w:pPr>
              <w:pStyle w:val="95"/>
              <w:rPr>
                <w:rFonts w:hint="eastAsia"/>
                <w:color w:val="000000" w:themeColor="text1"/>
                <w14:textFill>
                  <w14:solidFill>
                    <w14:schemeClr w14:val="tx1"/>
                  </w14:solidFill>
                </w14:textFill>
              </w:rPr>
            </w:pPr>
          </w:p>
        </w:tc>
      </w:tr>
      <w:tr w14:paraId="7BAD5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31911CC4">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.2</w:t>
            </w:r>
          </w:p>
        </w:tc>
        <w:tc>
          <w:tcPr>
            <w:tcW w:w="1720" w:type="dxa"/>
            <w:vAlign w:val="center"/>
          </w:tcPr>
          <w:p w14:paraId="36A91FA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评标方法</w:t>
            </w:r>
          </w:p>
        </w:tc>
        <w:tc>
          <w:tcPr>
            <w:tcW w:w="5841" w:type="dxa"/>
            <w:vAlign w:val="center"/>
          </w:tcPr>
          <w:p w14:paraId="49C6F82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综合评分法</w:t>
            </w:r>
          </w:p>
        </w:tc>
      </w:tr>
      <w:tr w14:paraId="0BE29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733B7DD7">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2.1</w:t>
            </w:r>
          </w:p>
        </w:tc>
        <w:tc>
          <w:tcPr>
            <w:tcW w:w="1720" w:type="dxa"/>
            <w:vAlign w:val="center"/>
          </w:tcPr>
          <w:p w14:paraId="1D3608C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相同品牌中标候选人推荐方式</w:t>
            </w:r>
          </w:p>
        </w:tc>
        <w:tc>
          <w:tcPr>
            <w:tcW w:w="5841" w:type="dxa"/>
            <w:vAlign w:val="center"/>
          </w:tcPr>
          <w:p w14:paraId="55D0C04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rFonts w:hint="eastAsia"/>
                <w:color w:val="000000" w:themeColor="text1"/>
                <w14:textFill>
                  <w14:solidFill>
                    <w14:schemeClr w14:val="tx1"/>
                  </w14:solidFill>
                </w14:textFill>
              </w:rPr>
              <w:t>得分最高的同品牌投标人获得中标候选人推荐资格；评审得分相同的，由采购人确定或者采购人委托评标委员会以</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（如投票等）</w:t>
            </w:r>
            <w:r>
              <w:rPr>
                <w:rFonts w:hint="eastAsia"/>
                <w:color w:val="000000" w:themeColor="text1"/>
                <w14:textFill>
                  <w14:solidFill>
                    <w14:schemeClr w14:val="tx1"/>
                  </w14:solidFill>
                </w14:textFill>
              </w:rPr>
              <w:t>方式确定一家投标人获得中标人推荐资格，其它同品牌投标人不作为中标候选人。</w:t>
            </w:r>
          </w:p>
          <w:p w14:paraId="59D1CBF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rFonts w:hint="eastAsia"/>
                <w:color w:val="000000" w:themeColor="text1"/>
                <w14:textFill>
                  <w14:solidFill>
                    <w14:schemeClr w14:val="tx1"/>
                  </w14:solidFill>
                </w14:textFill>
              </w:rPr>
              <w:t>报价最低的同品牌投标人获得中标候选人推荐资格；报价相同的，由采购人确定或者采购人委托评标委员会以投票方式确定一家投标人获得中标人推荐资格，其它</w:t>
            </w:r>
            <w:r>
              <w:rPr>
                <w:rFonts w:hint="eastAsia"/>
                <w:b/>
                <w:bCs/>
                <w:color w:val="000000" w:themeColor="text1"/>
                <w14:textFill>
                  <w14:solidFill>
                    <w14:schemeClr w14:val="tx1"/>
                  </w14:solidFill>
                </w14:textFill>
              </w:rPr>
              <w:t>投标无效</w:t>
            </w:r>
            <w:r>
              <w:rPr>
                <w:rFonts w:hint="eastAsia"/>
                <w:color w:val="000000" w:themeColor="text1"/>
                <w14:textFill>
                  <w14:solidFill>
                    <w14:schemeClr w14:val="tx1"/>
                  </w14:solidFill>
                </w14:textFill>
              </w:rPr>
              <w:t>。</w:t>
            </w:r>
          </w:p>
        </w:tc>
      </w:tr>
      <w:tr w14:paraId="04820A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vAlign w:val="center"/>
          </w:tcPr>
          <w:p w14:paraId="61221FBC">
            <w:pPr>
              <w:pStyle w:val="95"/>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p>
        </w:tc>
        <w:tc>
          <w:tcPr>
            <w:tcW w:w="1720" w:type="dxa"/>
            <w:vAlign w:val="center"/>
          </w:tcPr>
          <w:p w14:paraId="75040B9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中标候选人排序方式</w:t>
            </w:r>
          </w:p>
        </w:tc>
        <w:tc>
          <w:tcPr>
            <w:tcW w:w="5841" w:type="dxa"/>
            <w:vAlign w:val="center"/>
          </w:tcPr>
          <w:p w14:paraId="42D570D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FE"/>
            </w:r>
            <w:r>
              <w:rPr>
                <w:color w:val="000000" w:themeColor="text1"/>
                <w14:textFill>
                  <w14:solidFill>
                    <w14:schemeClr w14:val="tx1"/>
                  </w14:solidFill>
                </w14:textFill>
              </w:rPr>
              <w:t>评标结果</w:t>
            </w:r>
            <w:r>
              <w:rPr>
                <w:rFonts w:hint="eastAsia"/>
                <w:color w:val="000000" w:themeColor="text1"/>
                <w14:textFill>
                  <w14:solidFill>
                    <w14:schemeClr w14:val="tx1"/>
                  </w14:solidFill>
                </w14:textFill>
              </w:rPr>
              <w:t>排序</w:t>
            </w:r>
            <w:r>
              <w:rPr>
                <w:color w:val="000000" w:themeColor="text1"/>
                <w14:textFill>
                  <w14:solidFill>
                    <w14:schemeClr w14:val="tx1"/>
                  </w14:solidFill>
                </w14:textFill>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28A24C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w:char="00A8"/>
            </w:r>
            <w:r>
              <w:rPr>
                <w:color w:val="000000" w:themeColor="text1"/>
                <w14:textFill>
                  <w14:solidFill>
                    <w14:schemeClr w14:val="tx1"/>
                  </w14:solidFill>
                </w14:textFill>
              </w:rPr>
              <w:t>评标结果按照投标报价（因落实政府采购政策进行价格扣除的，以扣除后的价格计算）由低到高顺序排列。投标报价相同的并列。投标文件满足招标文件全部实质性要求且投标报价最低的投标人为排名第一的中标候选人。</w:t>
            </w:r>
          </w:p>
        </w:tc>
      </w:tr>
    </w:tbl>
    <w:p w14:paraId="77870E2A">
      <w:pPr>
        <w:rPr>
          <w:rFonts w:hint="eastAsia"/>
          <w:b/>
          <w:bCs/>
          <w:color w:val="000000" w:themeColor="text1"/>
          <w14:textFill>
            <w14:solidFill>
              <w14:schemeClr w14:val="tx1"/>
            </w14:solidFill>
          </w14:textFill>
        </w:rPr>
      </w:pPr>
    </w:p>
    <w:p w14:paraId="2B2E90C4">
      <w:pPr>
        <w:pStyle w:val="4"/>
        <w:numPr>
          <w:ilvl w:val="0"/>
          <w:numId w:val="18"/>
        </w:numPr>
        <w:spacing w:before="0" w:after="0"/>
        <w:ind w:left="0"/>
        <w:rPr>
          <w:rFonts w:hint="eastAsia"/>
          <w:color w:val="000000" w:themeColor="text1"/>
          <w:lang w:val="zh-CN"/>
          <w14:textFill>
            <w14:solidFill>
              <w14:schemeClr w14:val="tx1"/>
            </w14:solidFill>
          </w14:textFill>
        </w:rPr>
      </w:pPr>
      <w:bookmarkStart w:id="350" w:name="_Toc25733"/>
      <w:r>
        <w:rPr>
          <w:rFonts w:hint="eastAsia"/>
          <w:color w:val="000000" w:themeColor="text1"/>
          <w:lang w:val="zh-CN"/>
          <w14:textFill>
            <w14:solidFill>
              <w14:schemeClr w14:val="tx1"/>
            </w14:solidFill>
          </w14:textFill>
        </w:rPr>
        <w:t>评标程序</w:t>
      </w:r>
      <w:bookmarkEnd w:id="340"/>
      <w:bookmarkEnd w:id="341"/>
      <w:bookmarkEnd w:id="342"/>
      <w:bookmarkEnd w:id="343"/>
      <w:bookmarkEnd w:id="344"/>
      <w:bookmarkEnd w:id="345"/>
      <w:bookmarkEnd w:id="346"/>
      <w:bookmarkEnd w:id="347"/>
      <w:bookmarkEnd w:id="348"/>
      <w:bookmarkEnd w:id="349"/>
      <w:bookmarkEnd w:id="350"/>
    </w:p>
    <w:p w14:paraId="2C4F0B83">
      <w:pPr>
        <w:pStyle w:val="5"/>
        <w:numPr>
          <w:ilvl w:val="0"/>
          <w:numId w:val="19"/>
        </w:numPr>
        <w:spacing w:before="0" w:after="0"/>
        <w:ind w:left="0"/>
        <w:rPr>
          <w:rFonts w:hint="eastAsia"/>
          <w:color w:val="000000" w:themeColor="text1"/>
          <w:lang w:val="zh-CN"/>
          <w14:textFill>
            <w14:solidFill>
              <w14:schemeClr w14:val="tx1"/>
            </w14:solidFill>
          </w14:textFill>
        </w:rPr>
      </w:pPr>
      <w:bookmarkStart w:id="351" w:name="_Toc8283"/>
      <w:r>
        <w:rPr>
          <w:rFonts w:hint="eastAsia"/>
          <w:color w:val="000000" w:themeColor="text1"/>
          <w:lang w:val="zh-CN"/>
          <w14:textFill>
            <w14:solidFill>
              <w14:schemeClr w14:val="tx1"/>
            </w14:solidFill>
          </w14:textFill>
        </w:rPr>
        <w:t>符合性审查</w:t>
      </w:r>
      <w:bookmarkEnd w:id="351"/>
    </w:p>
    <w:p w14:paraId="003B7111">
      <w:pPr>
        <w:ind w:firstLine="470" w:firstLineChars="196"/>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000000" w:themeColor="text1"/>
          <w:lang w:val="zh-CN"/>
          <w14:textFill>
            <w14:solidFill>
              <w14:schemeClr w14:val="tx1"/>
            </w14:solidFill>
          </w14:textFill>
        </w:rPr>
        <w:t>无效投标处理</w:t>
      </w:r>
      <w:r>
        <w:rPr>
          <w:rFonts w:hint="eastAsia"/>
          <w:color w:val="000000" w:themeColor="text1"/>
          <w:lang w:val="zh-CN"/>
          <w14:textFill>
            <w14:solidFill>
              <w14:schemeClr w14:val="tx1"/>
            </w14:solidFill>
          </w14:textFill>
        </w:rPr>
        <w:t>。</w:t>
      </w:r>
    </w:p>
    <w:p w14:paraId="4DD4289C">
      <w:pPr>
        <w:ind w:firstLine="472" w:firstLineChars="196"/>
        <w:rPr>
          <w:rFonts w:hint="eastAsia"/>
          <w:b/>
          <w:bCs/>
          <w:color w:val="000000" w:themeColor="text1"/>
          <w:lang w:val="zh-CN"/>
          <w14:textFill>
            <w14:solidFill>
              <w14:schemeClr w14:val="tx1"/>
            </w14:solidFill>
          </w14:textFill>
        </w:rPr>
      </w:pPr>
      <w:bookmarkStart w:id="352" w:name="_Hlk161614521"/>
      <w:r>
        <w:rPr>
          <w:rFonts w:hint="eastAsia"/>
          <w:b/>
          <w:bCs/>
          <w:color w:val="000000" w:themeColor="text1"/>
          <w14:textFill>
            <w14:solidFill>
              <w14:schemeClr w14:val="tx1"/>
            </w14:solidFill>
          </w14:textFill>
        </w:rPr>
        <w:t>2.同品牌检查：</w:t>
      </w:r>
    </w:p>
    <w:p w14:paraId="72BA4FB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单一产品采购（或非单一产品采购中的核心产品），</w:t>
      </w:r>
      <w:r>
        <w:rPr>
          <w:color w:val="000000" w:themeColor="text1"/>
          <w14:textFill>
            <w14:solidFill>
              <w14:schemeClr w14:val="tx1"/>
            </w14:solidFill>
          </w14:textFill>
        </w:rPr>
        <w:t>提供相同品牌产品且通过资格审查、</w:t>
      </w:r>
      <w:r>
        <w:rPr>
          <w:rFonts w:hint="eastAsia"/>
          <w:color w:val="000000" w:themeColor="text1"/>
          <w14:textFill>
            <w14:solidFill>
              <w14:schemeClr w14:val="tx1"/>
            </w14:solidFill>
          </w14:textFill>
        </w:rPr>
        <w:t>符合性审查</w:t>
      </w:r>
      <w:r>
        <w:rPr>
          <w:color w:val="000000" w:themeColor="text1"/>
          <w14:textFill>
            <w14:solidFill>
              <w14:schemeClr w14:val="tx1"/>
            </w14:solidFill>
          </w14:textFill>
        </w:rPr>
        <w:t>的不同投标人参加同一合同项下投标的，按一家投标人计算。</w:t>
      </w:r>
    </w:p>
    <w:p w14:paraId="7DA56D1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1179A07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有效投标品牌不足</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家的应按</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处理。</w:t>
      </w:r>
    </w:p>
    <w:bookmarkEnd w:id="352"/>
    <w:p w14:paraId="3A8D273D">
      <w:pPr>
        <w:pStyle w:val="5"/>
        <w:numPr>
          <w:ilvl w:val="0"/>
          <w:numId w:val="19"/>
        </w:numPr>
        <w:spacing w:before="0" w:after="0"/>
        <w:ind w:left="0"/>
        <w:rPr>
          <w:rFonts w:hint="eastAsia"/>
          <w:color w:val="000000" w:themeColor="text1"/>
          <w:lang w:val="zh-CN"/>
          <w14:textFill>
            <w14:solidFill>
              <w14:schemeClr w14:val="tx1"/>
            </w14:solidFill>
          </w14:textFill>
        </w:rPr>
      </w:pPr>
      <w:bookmarkStart w:id="353" w:name="_Toc102119879"/>
      <w:bookmarkStart w:id="354" w:name="_Toc102114946"/>
      <w:bookmarkStart w:id="355" w:name="_Toc102057744"/>
      <w:bookmarkStart w:id="356" w:name="_Toc102056244"/>
      <w:bookmarkStart w:id="357" w:name="_Toc102116178"/>
      <w:bookmarkStart w:id="358" w:name="_Toc155185907"/>
      <w:bookmarkStart w:id="359" w:name="_Toc102116048"/>
      <w:bookmarkStart w:id="360" w:name="_Toc29689"/>
      <w:bookmarkStart w:id="361" w:name="_Toc493702305"/>
      <w:bookmarkStart w:id="362" w:name="_Toc27945260"/>
      <w:bookmarkStart w:id="363" w:name="_Toc492403836"/>
      <w:r>
        <w:rPr>
          <w:rFonts w:hint="eastAsia"/>
          <w:color w:val="000000" w:themeColor="text1"/>
          <w:lang w:val="zh-CN"/>
          <w14:textFill>
            <w14:solidFill>
              <w14:schemeClr w14:val="tx1"/>
            </w14:solidFill>
          </w14:textFill>
        </w:rPr>
        <w:t>投标文件澄清</w:t>
      </w:r>
      <w:bookmarkEnd w:id="353"/>
      <w:bookmarkEnd w:id="354"/>
      <w:bookmarkEnd w:id="355"/>
      <w:bookmarkEnd w:id="356"/>
      <w:bookmarkEnd w:id="357"/>
      <w:bookmarkEnd w:id="358"/>
      <w:bookmarkEnd w:id="359"/>
      <w:r>
        <w:rPr>
          <w:rFonts w:hint="eastAsia"/>
          <w:color w:val="000000" w:themeColor="text1"/>
          <w14:textFill>
            <w14:solidFill>
              <w14:schemeClr w14:val="tx1"/>
            </w14:solidFill>
          </w14:textFill>
        </w:rPr>
        <w:t>及修正</w:t>
      </w:r>
      <w:bookmarkEnd w:id="360"/>
    </w:p>
    <w:p w14:paraId="50E7A458">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评标期间，</w:t>
      </w:r>
      <w:r>
        <w:rPr>
          <w:color w:val="000000" w:themeColor="text1"/>
          <w14:textFill>
            <w14:solidFill>
              <w14:schemeClr w14:val="tx1"/>
            </w14:solidFill>
          </w14:textFill>
        </w:rPr>
        <w:t>对于投标文件中含义不明确、同类问题表述不一致或者有明显文字和计算错误的内容，评标委员会</w:t>
      </w:r>
      <w:r>
        <w:rPr>
          <w:rFonts w:hint="eastAsia"/>
          <w:color w:val="000000" w:themeColor="text1"/>
          <w14:textFill>
            <w14:solidFill>
              <w14:schemeClr w14:val="tx1"/>
            </w14:solidFill>
          </w14:textFill>
        </w:rPr>
        <w:t>应当在交易系统中以书面的形式</w:t>
      </w:r>
      <w:r>
        <w:rPr>
          <w:color w:val="000000" w:themeColor="text1"/>
          <w14:textFill>
            <w14:solidFill>
              <w14:schemeClr w14:val="tx1"/>
            </w14:solidFill>
          </w14:textFill>
        </w:rPr>
        <w:t>要求投标人</w:t>
      </w:r>
      <w:r>
        <w:rPr>
          <w:rFonts w:hint="eastAsia"/>
          <w:color w:val="000000" w:themeColor="text1"/>
          <w14:textFill>
            <w14:solidFill>
              <w14:schemeClr w14:val="tx1"/>
            </w14:solidFill>
          </w14:textFill>
        </w:rPr>
        <w:t>作</w:t>
      </w:r>
      <w:r>
        <w:rPr>
          <w:color w:val="000000" w:themeColor="text1"/>
          <w14:textFill>
            <w14:solidFill>
              <w14:schemeClr w14:val="tx1"/>
            </w14:solidFill>
          </w14:textFill>
        </w:rPr>
        <w:t>出必要的澄清、说明或者补正。</w:t>
      </w:r>
    </w:p>
    <w:p w14:paraId="31E6F7B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投标人应按照评标委员会要求在规定时间内作出澄清、说明或者补正，</w:t>
      </w:r>
      <w:r>
        <w:rPr>
          <w:color w:val="000000" w:themeColor="text1"/>
          <w14:textFill>
            <w14:solidFill>
              <w14:schemeClr w14:val="tx1"/>
            </w14:solidFill>
          </w14:textFill>
        </w:rPr>
        <w:t>澄清、说明或者补正不得超出投标文件的范围或者改变投标文件的实质性内容。</w:t>
      </w:r>
    </w:p>
    <w:p w14:paraId="33406C41">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投标人的</w:t>
      </w:r>
      <w:r>
        <w:rPr>
          <w:color w:val="000000" w:themeColor="text1"/>
          <w14:textFill>
            <w14:solidFill>
              <w14:schemeClr w14:val="tx1"/>
            </w14:solidFill>
          </w14:textFill>
        </w:rPr>
        <w:t>澄清、说明或者补正</w:t>
      </w:r>
      <w:r>
        <w:rPr>
          <w:rFonts w:hint="eastAsia"/>
          <w:color w:val="000000" w:themeColor="text1"/>
          <w14:textFill>
            <w14:solidFill>
              <w14:schemeClr w14:val="tx1"/>
            </w14:solidFill>
          </w14:textFill>
        </w:rPr>
        <w:t>是其投标文件的有效组成部分，</w:t>
      </w:r>
      <w:r>
        <w:rPr>
          <w:color w:val="000000" w:themeColor="text1"/>
          <w14:textFill>
            <w14:solidFill>
              <w14:schemeClr w14:val="tx1"/>
            </w14:solidFill>
          </w14:textFill>
        </w:rPr>
        <w:t>澄清、说明或者补正应当</w:t>
      </w:r>
      <w:r>
        <w:rPr>
          <w:rFonts w:hint="eastAsia"/>
          <w:color w:val="000000" w:themeColor="text1"/>
          <w14:textFill>
            <w14:solidFill>
              <w14:schemeClr w14:val="tx1"/>
            </w14:solidFill>
          </w14:textFill>
        </w:rPr>
        <w:t>在交易系统中加盖电子印章后提交</w:t>
      </w:r>
      <w:r>
        <w:rPr>
          <w:color w:val="000000" w:themeColor="text1"/>
          <w14:textFill>
            <w14:solidFill>
              <w14:schemeClr w14:val="tx1"/>
            </w14:solidFill>
          </w14:textFill>
        </w:rPr>
        <w:t>。</w:t>
      </w:r>
    </w:p>
    <w:p w14:paraId="22E3DC1D">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报价合理性说明：</w:t>
      </w:r>
      <w:r>
        <w:rPr>
          <w:color w:val="000000" w:themeColor="text1"/>
          <w14:textFill>
            <w14:solidFill>
              <w14:schemeClr w14:val="tx1"/>
            </w14:solidFill>
          </w14:textFill>
        </w:rPr>
        <w:t>评标委员会认为投标人的报价明显低于其他通过</w:t>
      </w:r>
      <w:r>
        <w:rPr>
          <w:rFonts w:hint="eastAsia"/>
          <w:color w:val="000000" w:themeColor="text1"/>
          <w14:textFill>
            <w14:solidFill>
              <w14:schemeClr w14:val="tx1"/>
            </w14:solidFill>
          </w14:textFill>
        </w:rPr>
        <w:t>符合性审查</w:t>
      </w:r>
      <w:r>
        <w:rPr>
          <w:color w:val="000000" w:themeColor="text1"/>
          <w14:textFill>
            <w14:solidFill>
              <w14:schemeClr w14:val="tx1"/>
            </w14:solidFill>
          </w14:textFill>
        </w:rPr>
        <w:t>投标人的报价，有可能影响产品质量或者不能诚信履约的，应当要求其</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合理的时间内提供说明，必要时提交相关证明材料；投标人不能证明其报价合理性的，评标委员</w:t>
      </w:r>
      <w:r>
        <w:rPr>
          <w:rFonts w:hint="eastAsia"/>
          <w:color w:val="000000" w:themeColor="text1"/>
          <w14:textFill>
            <w14:solidFill>
              <w14:schemeClr w14:val="tx1"/>
            </w14:solidFill>
          </w14:textFill>
        </w:rPr>
        <w:t>应当将其作为</w:t>
      </w:r>
      <w:r>
        <w:rPr>
          <w:b/>
          <w:bCs/>
          <w:color w:val="000000" w:themeColor="text1"/>
          <w14:textFill>
            <w14:solidFill>
              <w14:schemeClr w14:val="tx1"/>
            </w14:solidFill>
          </w14:textFill>
        </w:rPr>
        <w:t>无效投标</w:t>
      </w:r>
      <w:r>
        <w:rPr>
          <w:color w:val="000000" w:themeColor="text1"/>
          <w14:textFill>
            <w14:solidFill>
              <w14:schemeClr w14:val="tx1"/>
            </w14:solidFill>
          </w14:textFill>
        </w:rPr>
        <w:t>处理。</w:t>
      </w:r>
    </w:p>
    <w:p w14:paraId="797F684C">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7.投标文件报价出现前后不一致的，按照下列规定修正：</w:t>
      </w:r>
    </w:p>
    <w:p w14:paraId="19B89298">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7.1</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修正</w:t>
      </w:r>
      <w:r>
        <w:rPr>
          <w:rFonts w:hint="eastAsia"/>
          <w:color w:val="000000" w:themeColor="text1"/>
          <w14:textFill>
            <w14:solidFill>
              <w14:schemeClr w14:val="tx1"/>
            </w14:solidFill>
          </w14:textFill>
        </w:rPr>
        <w:t>规定见“</w:t>
      </w:r>
      <w:r>
        <w:rPr>
          <w:rFonts w:hint="eastAsia"/>
          <w:color w:val="000000" w:themeColor="text1"/>
          <w:lang w:val="en-US"/>
          <w14:textFill>
            <w14:solidFill>
              <w14:schemeClr w14:val="tx1"/>
            </w14:solidFill>
          </w14:textFill>
        </w:rPr>
        <w:t>评标办法前附表</w:t>
      </w:r>
      <w:r>
        <w:rPr>
          <w:rFonts w:hint="eastAsia"/>
          <w:color w:val="000000" w:themeColor="text1"/>
          <w14:textFill>
            <w14:solidFill>
              <w14:schemeClr w14:val="tx1"/>
            </w14:solidFill>
          </w14:textFill>
        </w:rPr>
        <w:t>”；</w:t>
      </w:r>
    </w:p>
    <w:p w14:paraId="593B17E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7.2修正后的报价按照</w:t>
      </w:r>
      <w:r>
        <w:rPr>
          <w:rFonts w:hint="eastAsia"/>
          <w:color w:val="000000" w:themeColor="text1"/>
          <w14:textFill>
            <w14:solidFill>
              <w14:schemeClr w14:val="tx1"/>
            </w14:solidFill>
          </w14:textFill>
        </w:rPr>
        <w:t>第</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条规定</w:t>
      </w:r>
      <w:r>
        <w:rPr>
          <w:color w:val="000000" w:themeColor="text1"/>
          <w14:textFill>
            <w14:solidFill>
              <w14:schemeClr w14:val="tx1"/>
            </w14:solidFill>
          </w14:textFill>
        </w:rPr>
        <w:t>经投标人确认后产生约束力，投标人不确认的，</w:t>
      </w:r>
      <w:r>
        <w:rPr>
          <w:rFonts w:hint="eastAsia"/>
          <w:color w:val="000000" w:themeColor="text1"/>
          <w14:textFill>
            <w14:solidFill>
              <w14:schemeClr w14:val="tx1"/>
            </w14:solidFill>
          </w14:textFill>
        </w:rPr>
        <w:t>按照</w:t>
      </w:r>
      <w:r>
        <w:rPr>
          <w:b/>
          <w:bCs/>
          <w:color w:val="000000" w:themeColor="text1"/>
          <w14:textFill>
            <w14:solidFill>
              <w14:schemeClr w14:val="tx1"/>
            </w14:solidFill>
          </w14:textFill>
        </w:rPr>
        <w:t>无效</w:t>
      </w:r>
      <w:r>
        <w:rPr>
          <w:rFonts w:hint="eastAsia"/>
          <w:b/>
          <w:bCs/>
          <w:color w:val="000000" w:themeColor="text1"/>
          <w14:textFill>
            <w14:solidFill>
              <w14:schemeClr w14:val="tx1"/>
            </w14:solidFill>
          </w14:textFill>
        </w:rPr>
        <w:t>投标处理</w:t>
      </w:r>
      <w:r>
        <w:rPr>
          <w:color w:val="000000" w:themeColor="text1"/>
          <w14:textFill>
            <w14:solidFill>
              <w14:schemeClr w14:val="tx1"/>
            </w14:solidFill>
          </w14:textFill>
        </w:rPr>
        <w:t>。</w:t>
      </w:r>
    </w:p>
    <w:p w14:paraId="16148B0C">
      <w:pPr>
        <w:pStyle w:val="5"/>
        <w:numPr>
          <w:ilvl w:val="0"/>
          <w:numId w:val="19"/>
        </w:numPr>
        <w:spacing w:before="0" w:after="0"/>
        <w:ind w:left="0"/>
        <w:rPr>
          <w:rFonts w:hint="eastAsia"/>
          <w:color w:val="000000" w:themeColor="text1"/>
          <w14:textFill>
            <w14:solidFill>
              <w14:schemeClr w14:val="tx1"/>
            </w14:solidFill>
          </w14:textFill>
        </w:rPr>
      </w:pPr>
      <w:bookmarkStart w:id="364" w:name="_Toc20204"/>
      <w:bookmarkStart w:id="365" w:name="_Toc102057745"/>
      <w:bookmarkStart w:id="366" w:name="_Toc102056245"/>
      <w:bookmarkStart w:id="367" w:name="_Toc102114947"/>
      <w:bookmarkStart w:id="368" w:name="_Toc102116049"/>
      <w:bookmarkStart w:id="369" w:name="_Toc102119880"/>
      <w:bookmarkStart w:id="370" w:name="_Toc155185908"/>
      <w:bookmarkStart w:id="371" w:name="_Toc102116179"/>
      <w:r>
        <w:rPr>
          <w:rFonts w:hint="eastAsia"/>
          <w:color w:val="000000" w:themeColor="text1"/>
          <w14:textFill>
            <w14:solidFill>
              <w14:schemeClr w14:val="tx1"/>
            </w14:solidFill>
          </w14:textFill>
        </w:rPr>
        <w:t>比较和评价</w:t>
      </w:r>
      <w:bookmarkEnd w:id="364"/>
    </w:p>
    <w:p w14:paraId="5DDF884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评标方法</w:t>
      </w:r>
    </w:p>
    <w:p w14:paraId="0D17999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8.1综合评分法，是指投标文件满足招标文件全部实质性要求，且按照评审因素的量化指标评审得分最高的投标人为中标候选人的评标方法。</w:t>
      </w:r>
      <w:bookmarkStart w:id="372" w:name="_Hlk161739908"/>
      <w:r>
        <w:rPr>
          <w:color w:val="000000" w:themeColor="text1"/>
          <w14:textFill>
            <w14:solidFill>
              <w14:schemeClr w14:val="tx1"/>
            </w14:solidFill>
          </w14:textFill>
        </w:rPr>
        <w:t>最低评标价法</w:t>
      </w:r>
      <w:bookmarkEnd w:id="372"/>
      <w:r>
        <w:rPr>
          <w:color w:val="000000" w:themeColor="text1"/>
          <w14:textFill>
            <w14:solidFill>
              <w14:schemeClr w14:val="tx1"/>
            </w14:solidFill>
          </w14:textFill>
        </w:rPr>
        <w:t>，是指投标文件满足招标文件全部实质性要求，且投标报价最低的投标人为中标候选人的评标方法。</w:t>
      </w:r>
    </w:p>
    <w:p w14:paraId="0F8A56E1">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8.2本项目评标方法详见《评标办法前附表》。</w:t>
      </w:r>
    </w:p>
    <w:p w14:paraId="4ACFA41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.综合评分法</w:t>
      </w:r>
    </w:p>
    <w:p w14:paraId="19FC35F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评审因素包括投标报价、商务技术以及落实政府采购政策。评审因素及标准见本章《评分标准》。</w:t>
      </w:r>
    </w:p>
    <w:p w14:paraId="56A318C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9.2投标报价评审</w:t>
      </w:r>
    </w:p>
    <w:p w14:paraId="363E25F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1）价格分应当采用低价优先法计算，即满足招标文件要求且投标价格最低的投标报价为评标基准价，其价格分为满分。其他投标人的价格分统一按照下列公式计算：</w:t>
      </w:r>
    </w:p>
    <w:p w14:paraId="516320B8">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投标报价得分</w:t>
      </w:r>
      <w:r>
        <w:rPr>
          <w:color w:val="000000" w:themeColor="text1"/>
          <w14:textFill>
            <w14:solidFill>
              <w14:schemeClr w14:val="tx1"/>
            </w14:solidFill>
          </w14:textFill>
        </w:rPr>
        <w:t>=(评标基准价／投标报价)×100</w:t>
      </w:r>
    </w:p>
    <w:p w14:paraId="4B5485B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评标过程中，不得去掉报价中的最高报价和最低报价。</w:t>
      </w:r>
    </w:p>
    <w:p w14:paraId="1DA3E5C0">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2）除算术修正和落实政府采购政策的价格扣除外，不对投标报价进行调整；</w:t>
      </w:r>
    </w:p>
    <w:p w14:paraId="13681073">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3）价格权重见</w:t>
      </w:r>
      <w:r>
        <w:rPr>
          <w:rFonts w:hint="eastAsia"/>
          <w:color w:val="000000" w:themeColor="text1"/>
          <w14:textFill>
            <w14:solidFill>
              <w14:schemeClr w14:val="tx1"/>
            </w14:solidFill>
          </w14:textFill>
        </w:rPr>
        <w:t>本章</w:t>
      </w:r>
      <w:r>
        <w:rPr>
          <w:color w:val="000000" w:themeColor="text1"/>
          <w14:textFill>
            <w14:solidFill>
              <w14:schemeClr w14:val="tx1"/>
            </w14:solidFill>
          </w14:textFill>
        </w:rPr>
        <w:t>《评分标准》。</w:t>
      </w:r>
    </w:p>
    <w:p w14:paraId="5F8EC1FE">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9.3商务技术评审</w:t>
      </w:r>
    </w:p>
    <w:p w14:paraId="0D4F0DE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评标委员会应对符合性审查合格的投标文件进行商务和技术评审，并按照招标文件要求及本章“三、评标标准”中的内容进行综合比较和评价。</w:t>
      </w:r>
    </w:p>
    <w:p w14:paraId="12D2A70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计分办法及复核</w:t>
      </w:r>
    </w:p>
    <w:p w14:paraId="541F0BC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评标过程中，各项分值一般精确到小数点后两位，评标得分应为商务评分、技术评分、报价评分之和。评标委员会各成员应汇总每个投标人的得分。</w:t>
      </w:r>
    </w:p>
    <w:p w14:paraId="07DA6DD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评标结果汇总完成后，采购代理机构应对评标结果进行复核。经复核发现存在以下情形之一的，评标委员会应当当场修改评标结果，并在评标报告中记载：</w:t>
      </w:r>
    </w:p>
    <w:p w14:paraId="4251CF85">
      <w:pPr>
        <w:pStyle w:val="91"/>
        <w:numPr>
          <w:ilvl w:val="0"/>
          <w:numId w:val="20"/>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分值汇总计算错误的；</w:t>
      </w:r>
    </w:p>
    <w:p w14:paraId="226D1766">
      <w:pPr>
        <w:pStyle w:val="91"/>
        <w:numPr>
          <w:ilvl w:val="0"/>
          <w:numId w:val="20"/>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分项评分超出评分标准范围的；</w:t>
      </w:r>
    </w:p>
    <w:p w14:paraId="475FD9CA">
      <w:pPr>
        <w:pStyle w:val="91"/>
        <w:numPr>
          <w:ilvl w:val="0"/>
          <w:numId w:val="20"/>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评标委员会成员对客观评审因素评分不一致的；</w:t>
      </w:r>
    </w:p>
    <w:p w14:paraId="730D1245">
      <w:pPr>
        <w:pStyle w:val="91"/>
        <w:numPr>
          <w:ilvl w:val="0"/>
          <w:numId w:val="20"/>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经评标委员会认定评分畸高、畸低的</w:t>
      </w:r>
      <w:r>
        <w:rPr>
          <w:rFonts w:hint="eastAsia"/>
          <w:color w:val="000000" w:themeColor="text1"/>
          <w14:textFill>
            <w14:solidFill>
              <w14:schemeClr w14:val="tx1"/>
            </w14:solidFill>
          </w14:textFill>
        </w:rPr>
        <w:t>。</w:t>
      </w:r>
    </w:p>
    <w:p w14:paraId="5D2C6C8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各投标人的最终得分为评标委员会所有成员对各投标人评标得分汇总后的算术平均值。</w:t>
      </w:r>
    </w:p>
    <w:p w14:paraId="534FF60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最低评标价法</w:t>
      </w:r>
    </w:p>
    <w:p w14:paraId="2BA94547">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除算术修正和落实政府采购政策的价格扣除外，不对投标报价进行调整。</w:t>
      </w:r>
    </w:p>
    <w:p w14:paraId="13FB8C9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政府采购政策评审</w:t>
      </w:r>
    </w:p>
    <w:p w14:paraId="3A9CEFF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11.1</w:t>
      </w:r>
      <w:r>
        <w:rPr>
          <w:rFonts w:hint="eastAsia"/>
          <w:color w:val="000000" w:themeColor="text1"/>
          <w14:textFill>
            <w14:solidFill>
              <w14:schemeClr w14:val="tx1"/>
            </w14:solidFill>
          </w14:textFill>
        </w:rPr>
        <w:t>价格扣除</w:t>
      </w:r>
    </w:p>
    <w:p w14:paraId="4B7023CD">
      <w:pPr>
        <w:pStyle w:val="91"/>
        <w:numPr>
          <w:ilvl w:val="0"/>
          <w:numId w:val="21"/>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000000" w:themeColor="text1"/>
          <w14:textFill>
            <w14:solidFill>
              <w14:schemeClr w14:val="tx1"/>
            </w14:solidFill>
          </w14:textFill>
        </w:rPr>
        <w:t>按照本招标文件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投标人须知前附表”中的规定</w:t>
      </w:r>
      <w:r>
        <w:rPr>
          <w:color w:val="000000" w:themeColor="text1"/>
          <w14:textFill>
            <w14:solidFill>
              <w14:schemeClr w14:val="tx1"/>
            </w14:solidFill>
          </w14:textFill>
        </w:rPr>
        <w:t>扣除，对小微企业中的监狱企业、残疾人福利性单位、采购产品纳入创新产品应用示范推荐目录内企业、采购产品获得节能产品或环境标志产品认证证书的企业报价</w:t>
      </w:r>
      <w:r>
        <w:rPr>
          <w:rFonts w:hint="eastAsia"/>
          <w:color w:val="000000" w:themeColor="text1"/>
          <w14:textFill>
            <w14:solidFill>
              <w14:schemeClr w14:val="tx1"/>
            </w14:solidFill>
          </w14:textFill>
        </w:rPr>
        <w:t>按照本招标文件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投标人须知前附表”中的规定</w:t>
      </w:r>
      <w:r>
        <w:rPr>
          <w:color w:val="000000" w:themeColor="text1"/>
          <w14:textFill>
            <w14:solidFill>
              <w14:schemeClr w14:val="tx1"/>
            </w14:solidFill>
          </w14:textFill>
        </w:rPr>
        <w:t>扣除，用扣除后的价格</w:t>
      </w:r>
      <w:r>
        <w:rPr>
          <w:rFonts w:hint="eastAsia"/>
          <w:color w:val="000000" w:themeColor="text1"/>
          <w14:textFill>
            <w14:solidFill>
              <w14:schemeClr w14:val="tx1"/>
            </w14:solidFill>
          </w14:textFill>
        </w:rPr>
        <w:t>参加评审</w:t>
      </w:r>
      <w:r>
        <w:rPr>
          <w:color w:val="000000" w:themeColor="text1"/>
          <w14:textFill>
            <w14:solidFill>
              <w14:schemeClr w14:val="tx1"/>
            </w14:solidFill>
          </w14:textFill>
        </w:rPr>
        <w:t>。</w:t>
      </w:r>
    </w:p>
    <w:p w14:paraId="7BC54387">
      <w:pPr>
        <w:pStyle w:val="91"/>
        <w:numPr>
          <w:ilvl w:val="0"/>
          <w:numId w:val="21"/>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4BD2219C">
      <w:pPr>
        <w:pStyle w:val="91"/>
        <w:numPr>
          <w:ilvl w:val="0"/>
          <w:numId w:val="21"/>
        </w:numPr>
        <w:wordWrap/>
        <w:ind w:left="0"/>
        <w:rPr>
          <w:rFonts w:hint="eastAsia"/>
          <w:color w:val="000000" w:themeColor="text1"/>
          <w14:textFill>
            <w14:solidFill>
              <w14:schemeClr w14:val="tx1"/>
            </w14:solidFill>
          </w14:textFill>
        </w:rPr>
      </w:pPr>
      <w:r>
        <w:rPr>
          <w:color w:val="000000" w:themeColor="text1"/>
          <w14:textFill>
            <w14:solidFill>
              <w14:schemeClr w14:val="tx1"/>
            </w14:solidFill>
          </w14:textFill>
        </w:rPr>
        <w:t>专门面向中小企业、预留部分采购份额面向中小企业采购的项目或采购包，评审时不再进行价格扣除。</w:t>
      </w:r>
    </w:p>
    <w:p w14:paraId="492E6BD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相同品牌处理原则</w:t>
      </w:r>
    </w:p>
    <w:p w14:paraId="632F6B3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000000" w:themeColor="text1"/>
          <w14:textFill>
            <w14:solidFill>
              <w14:schemeClr w14:val="tx1"/>
            </w14:solidFill>
          </w14:textFill>
        </w:rPr>
        <w:t>方式见“评标办法前附表”；</w:t>
      </w:r>
    </w:p>
    <w:p w14:paraId="45080011">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65"/>
    <w:bookmarkEnd w:id="366"/>
    <w:bookmarkEnd w:id="367"/>
    <w:bookmarkEnd w:id="368"/>
    <w:bookmarkEnd w:id="369"/>
    <w:bookmarkEnd w:id="370"/>
    <w:bookmarkEnd w:id="371"/>
    <w:p w14:paraId="7FC64938">
      <w:pPr>
        <w:pStyle w:val="5"/>
        <w:numPr>
          <w:ilvl w:val="0"/>
          <w:numId w:val="19"/>
        </w:numPr>
        <w:spacing w:before="0" w:after="0"/>
        <w:ind w:left="0"/>
        <w:rPr>
          <w:rFonts w:hint="eastAsia"/>
          <w:color w:val="000000" w:themeColor="text1"/>
          <w:lang w:val="zh-CN"/>
          <w14:textFill>
            <w14:solidFill>
              <w14:schemeClr w14:val="tx1"/>
            </w14:solidFill>
          </w14:textFill>
        </w:rPr>
      </w:pPr>
      <w:bookmarkStart w:id="373" w:name="_Toc155185912"/>
      <w:bookmarkStart w:id="374" w:name="_Toc102116054"/>
      <w:bookmarkStart w:id="375" w:name="_Toc15133"/>
      <w:bookmarkStart w:id="376" w:name="_Toc102114952"/>
      <w:bookmarkStart w:id="377" w:name="_Toc102116184"/>
      <w:bookmarkStart w:id="378" w:name="_Toc102057750"/>
      <w:bookmarkStart w:id="379" w:name="_Toc102119885"/>
      <w:bookmarkStart w:id="380" w:name="_Toc102056250"/>
      <w:r>
        <w:rPr>
          <w:rFonts w:hint="eastAsia"/>
          <w:color w:val="000000" w:themeColor="text1"/>
          <w:lang w:val="zh-CN"/>
          <w14:textFill>
            <w14:solidFill>
              <w14:schemeClr w14:val="tx1"/>
            </w14:solidFill>
          </w14:textFill>
        </w:rPr>
        <w:t>评标报告</w:t>
      </w:r>
      <w:bookmarkEnd w:id="373"/>
      <w:bookmarkEnd w:id="374"/>
      <w:bookmarkEnd w:id="375"/>
      <w:bookmarkEnd w:id="376"/>
      <w:bookmarkEnd w:id="377"/>
      <w:bookmarkEnd w:id="378"/>
      <w:bookmarkEnd w:id="379"/>
      <w:bookmarkEnd w:id="380"/>
    </w:p>
    <w:p w14:paraId="44F77F39">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评标委员会按照招标文件确定的评标方法、程序及标准，对投标文件进行评审。中标候选人排序方式见“评标办法前附表”。</w:t>
      </w:r>
    </w:p>
    <w:p w14:paraId="49A7D62E">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评标委员会依据评标结果，向采购人推荐中标候选人名单，并形成评标报告。</w:t>
      </w:r>
    </w:p>
    <w:p w14:paraId="76D265E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537D165C">
      <w:pPr>
        <w:pStyle w:val="5"/>
        <w:numPr>
          <w:ilvl w:val="0"/>
          <w:numId w:val="19"/>
        </w:numPr>
        <w:spacing w:before="0" w:after="0"/>
        <w:ind w:left="0"/>
        <w:rPr>
          <w:rFonts w:hint="eastAsia"/>
          <w:color w:val="000000" w:themeColor="text1"/>
          <w:lang w:val="zh-CN"/>
          <w14:textFill>
            <w14:solidFill>
              <w14:schemeClr w14:val="tx1"/>
            </w14:solidFill>
          </w14:textFill>
        </w:rPr>
      </w:pPr>
      <w:bookmarkStart w:id="381" w:name="_Toc155185913"/>
      <w:bookmarkStart w:id="382" w:name="_Toc17439"/>
      <w:bookmarkStart w:id="383" w:name="_Toc102116151"/>
      <w:bookmarkStart w:id="384" w:name="_Toc102119852"/>
      <w:bookmarkStart w:id="385" w:name="_Toc102056217"/>
      <w:bookmarkStart w:id="386" w:name="_Toc102057717"/>
      <w:bookmarkStart w:id="387" w:name="_Toc102116021"/>
      <w:bookmarkStart w:id="388" w:name="_Toc102114919"/>
      <w:r>
        <w:rPr>
          <w:rFonts w:hint="eastAsia"/>
          <w:color w:val="000000" w:themeColor="text1"/>
          <w:lang w:val="zh-CN"/>
          <w14:textFill>
            <w14:solidFill>
              <w14:schemeClr w14:val="tx1"/>
            </w14:solidFill>
          </w14:textFill>
        </w:rPr>
        <w:t>应予废标的情形</w:t>
      </w:r>
      <w:bookmarkEnd w:id="381"/>
      <w:bookmarkEnd w:id="382"/>
      <w:bookmarkEnd w:id="383"/>
      <w:bookmarkEnd w:id="384"/>
      <w:bookmarkEnd w:id="385"/>
      <w:bookmarkEnd w:id="386"/>
      <w:bookmarkEnd w:id="387"/>
      <w:bookmarkEnd w:id="388"/>
    </w:p>
    <w:p w14:paraId="17D0B8D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在招标采购过程中，出现下列情形之一的，应予</w:t>
      </w:r>
      <w:r>
        <w:rPr>
          <w:rFonts w:hint="eastAsia"/>
          <w:b/>
          <w:bCs/>
          <w:color w:val="000000" w:themeColor="text1"/>
          <w14:textFill>
            <w14:solidFill>
              <w14:schemeClr w14:val="tx1"/>
            </w14:solidFill>
          </w14:textFill>
        </w:rPr>
        <w:t>废标</w:t>
      </w:r>
      <w:r>
        <w:rPr>
          <w:rFonts w:hint="eastAsia"/>
          <w:color w:val="000000" w:themeColor="text1"/>
          <w14:textFill>
            <w14:solidFill>
              <w14:schemeClr w14:val="tx1"/>
            </w14:solidFill>
          </w14:textFill>
        </w:rPr>
        <w:t>：</w:t>
      </w:r>
    </w:p>
    <w:p w14:paraId="46647649">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16.1</w:t>
      </w:r>
      <w:r>
        <w:rPr>
          <w:rFonts w:hint="eastAsia"/>
          <w:color w:val="000000" w:themeColor="text1"/>
          <w14:textFill>
            <w14:solidFill>
              <w14:schemeClr w14:val="tx1"/>
            </w14:solidFill>
          </w14:textFill>
        </w:rPr>
        <w:t>符合专业条件的供应商或者对招标文件作实质响应的供应商不足3家的；</w:t>
      </w:r>
    </w:p>
    <w:p w14:paraId="22A3EFC5">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16.2</w:t>
      </w:r>
      <w:r>
        <w:rPr>
          <w:rFonts w:hint="eastAsia"/>
          <w:color w:val="000000" w:themeColor="text1"/>
          <w14:textFill>
            <w14:solidFill>
              <w14:schemeClr w14:val="tx1"/>
            </w14:solidFill>
          </w14:textFill>
        </w:rPr>
        <w:t>出现影响采购公正的违法、违规行为的；</w:t>
      </w:r>
    </w:p>
    <w:p w14:paraId="5A6C28C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16.3</w:t>
      </w:r>
      <w:r>
        <w:rPr>
          <w:rFonts w:hint="eastAsia"/>
          <w:color w:val="000000" w:themeColor="text1"/>
          <w14:textFill>
            <w14:solidFill>
              <w14:schemeClr w14:val="tx1"/>
            </w14:solidFill>
          </w14:textFill>
        </w:rPr>
        <w:t>投标人的报价均超过了采购预算，采购人不能支付的；</w:t>
      </w:r>
    </w:p>
    <w:p w14:paraId="2EBDFE06">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16.4</w:t>
      </w:r>
      <w:r>
        <w:rPr>
          <w:rFonts w:hint="eastAsia"/>
          <w:color w:val="000000" w:themeColor="text1"/>
          <w14:textFill>
            <w14:solidFill>
              <w14:schemeClr w14:val="tx1"/>
            </w14:solidFill>
          </w14:textFill>
        </w:rPr>
        <w:t>因重大变故，采购任务取消的。</w:t>
      </w:r>
    </w:p>
    <w:p w14:paraId="4D81907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废标后，采购人应当将废标理由通知所有投标人。</w:t>
      </w:r>
    </w:p>
    <w:p w14:paraId="729D6F86">
      <w:pPr>
        <w:pStyle w:val="5"/>
        <w:numPr>
          <w:ilvl w:val="0"/>
          <w:numId w:val="19"/>
        </w:numPr>
        <w:spacing w:before="0" w:after="0"/>
        <w:ind w:left="0"/>
        <w:rPr>
          <w:rFonts w:hint="eastAsia"/>
          <w:color w:val="000000" w:themeColor="text1"/>
          <w:lang w:val="zh-CN"/>
          <w14:textFill>
            <w14:solidFill>
              <w14:schemeClr w14:val="tx1"/>
            </w14:solidFill>
          </w14:textFill>
        </w:rPr>
      </w:pPr>
      <w:bookmarkStart w:id="389" w:name="_Toc13909"/>
      <w:bookmarkStart w:id="390" w:name="_Toc102119853"/>
      <w:bookmarkStart w:id="391" w:name="_Toc102114920"/>
      <w:bookmarkStart w:id="392" w:name="_Toc102116022"/>
      <w:bookmarkStart w:id="393" w:name="_Toc155185914"/>
      <w:bookmarkStart w:id="394" w:name="_Toc102056218"/>
      <w:bookmarkStart w:id="395" w:name="_Toc102116152"/>
      <w:bookmarkStart w:id="396" w:name="_Toc102057718"/>
      <w:r>
        <w:rPr>
          <w:rFonts w:hint="eastAsia"/>
          <w:color w:val="000000" w:themeColor="text1"/>
          <w:lang w:val="zh-CN"/>
          <w14:textFill>
            <w14:solidFill>
              <w14:schemeClr w14:val="tx1"/>
            </w14:solidFill>
          </w14:textFill>
        </w:rPr>
        <w:t>停止评标的情形</w:t>
      </w:r>
      <w:bookmarkEnd w:id="389"/>
      <w:bookmarkEnd w:id="390"/>
      <w:bookmarkEnd w:id="391"/>
      <w:bookmarkEnd w:id="392"/>
      <w:bookmarkEnd w:id="393"/>
      <w:bookmarkEnd w:id="394"/>
      <w:bookmarkEnd w:id="395"/>
      <w:bookmarkEnd w:id="396"/>
    </w:p>
    <w:p w14:paraId="3BA2A044">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61"/>
      <w:bookmarkEnd w:id="362"/>
      <w:bookmarkEnd w:id="363"/>
      <w:r>
        <w:rPr>
          <w:color w:val="000000" w:themeColor="text1"/>
          <w14:textFill>
            <w14:solidFill>
              <w14:schemeClr w14:val="tx1"/>
            </w14:solidFill>
          </w14:textFill>
        </w:rPr>
        <w:br w:type="page"/>
      </w:r>
    </w:p>
    <w:p w14:paraId="47F35866">
      <w:pPr>
        <w:pStyle w:val="4"/>
        <w:numPr>
          <w:ilvl w:val="0"/>
          <w:numId w:val="18"/>
        </w:numPr>
        <w:spacing w:before="0" w:after="0"/>
        <w:ind w:left="0"/>
        <w:rPr>
          <w:rFonts w:hint="eastAsia"/>
          <w:color w:val="000000" w:themeColor="text1"/>
          <w:lang w:val="zh-CN"/>
          <w14:textFill>
            <w14:solidFill>
              <w14:schemeClr w14:val="tx1"/>
            </w14:solidFill>
          </w14:textFill>
        </w:rPr>
      </w:pPr>
      <w:bookmarkStart w:id="397" w:name="_Toc155185915"/>
      <w:bookmarkStart w:id="398" w:name="_Toc16376"/>
      <w:r>
        <w:rPr>
          <w:rFonts w:hint="eastAsia"/>
          <w:color w:val="000000" w:themeColor="text1"/>
          <w:lang w:val="zh-CN"/>
          <w14:textFill>
            <w14:solidFill>
              <w14:schemeClr w14:val="tx1"/>
            </w14:solidFill>
          </w14:textFill>
        </w:rPr>
        <w:t>评标标准</w:t>
      </w:r>
      <w:bookmarkEnd w:id="397"/>
      <w:bookmarkEnd w:id="398"/>
    </w:p>
    <w:p w14:paraId="098D3B9B">
      <w:pPr>
        <w:pStyle w:val="5"/>
        <w:spacing w:before="0" w:after="0"/>
        <w:ind w:hanging="420"/>
        <w:rPr>
          <w:rFonts w:hint="eastAsia"/>
          <w:color w:val="000000" w:themeColor="text1"/>
          <w:lang w:val="zh-CN"/>
          <w14:textFill>
            <w14:solidFill>
              <w14:schemeClr w14:val="tx1"/>
            </w14:solidFill>
          </w14:textFill>
        </w:rPr>
      </w:pPr>
      <w:bookmarkStart w:id="399" w:name="_Toc7565"/>
      <w:r>
        <w:rPr>
          <w:rFonts w:hint="eastAsia"/>
          <w:color w:val="000000" w:themeColor="text1"/>
          <w:lang w:val="zh-CN"/>
          <w14:textFill>
            <w14:solidFill>
              <w14:schemeClr w14:val="tx1"/>
            </w14:solidFill>
          </w14:textFill>
        </w:rPr>
        <w:t>（一）符合性审查表</w:t>
      </w:r>
      <w:bookmarkEnd w:id="399"/>
    </w:p>
    <w:tbl>
      <w:tblPr>
        <w:tblStyle w:val="8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3"/>
        <w:gridCol w:w="2163"/>
        <w:gridCol w:w="5546"/>
      </w:tblGrid>
      <w:tr w14:paraId="2EFF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13" w:type="dxa"/>
            <w:shd w:val="clear" w:color="auto" w:fill="D8D8D8"/>
            <w:vAlign w:val="center"/>
          </w:tcPr>
          <w:p w14:paraId="7CACFC17">
            <w:pPr>
              <w:pStyle w:val="95"/>
              <w:jc w:val="center"/>
              <w:rPr>
                <w:rFonts w:hint="eastAsia"/>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序号</w:t>
            </w:r>
          </w:p>
        </w:tc>
        <w:tc>
          <w:tcPr>
            <w:tcW w:w="2163" w:type="dxa"/>
            <w:shd w:val="clear" w:color="auto" w:fill="D8D8D8"/>
            <w:vAlign w:val="center"/>
          </w:tcPr>
          <w:p w14:paraId="14D3A9A1">
            <w:pPr>
              <w:pStyle w:val="95"/>
              <w:jc w:val="center"/>
              <w:rPr>
                <w:rFonts w:hint="eastAsia"/>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审查项名称</w:t>
            </w:r>
          </w:p>
        </w:tc>
        <w:tc>
          <w:tcPr>
            <w:tcW w:w="5546" w:type="dxa"/>
            <w:shd w:val="clear" w:color="auto" w:fill="D8D8D8"/>
            <w:vAlign w:val="center"/>
          </w:tcPr>
          <w:p w14:paraId="136CEEA6">
            <w:pPr>
              <w:pStyle w:val="95"/>
              <w:jc w:val="center"/>
              <w:rPr>
                <w:rFonts w:hint="eastAsia"/>
                <w:b/>
                <w:bCs/>
                <w:color w:val="000000" w:themeColor="text1"/>
                <w:lang w:val="zh-CN"/>
                <w14:textFill>
                  <w14:solidFill>
                    <w14:schemeClr w14:val="tx1"/>
                  </w14:solidFill>
                </w14:textFill>
              </w:rPr>
            </w:pPr>
            <w:r>
              <w:rPr>
                <w:rFonts w:hint="eastAsia"/>
                <w:b/>
                <w:bCs/>
                <w:color w:val="000000" w:themeColor="text1"/>
                <w:lang w:val="zh-CN"/>
                <w14:textFill>
                  <w14:solidFill>
                    <w14:schemeClr w14:val="tx1"/>
                  </w14:solidFill>
                </w14:textFill>
              </w:rPr>
              <w:t>审查内容</w:t>
            </w:r>
          </w:p>
        </w:tc>
      </w:tr>
      <w:tr w14:paraId="76303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1CBDCA2D">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66130CD0">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投标报价</w:t>
            </w:r>
          </w:p>
        </w:tc>
        <w:tc>
          <w:tcPr>
            <w:tcW w:w="5546" w:type="dxa"/>
            <w:vAlign w:val="center"/>
          </w:tcPr>
          <w:p w14:paraId="7B26F240">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（1）投标报价没有超过项目（</w:t>
            </w:r>
            <w:r>
              <w:rPr>
                <w:rFonts w:hint="eastAsia"/>
                <w:color w:val="000000" w:themeColor="text1"/>
                <w14:textFill>
                  <w14:solidFill>
                    <w14:schemeClr w14:val="tx1"/>
                  </w14:solidFill>
                </w14:textFill>
              </w:rPr>
              <w:t>采购包</w:t>
            </w:r>
            <w:r>
              <w:rPr>
                <w:rFonts w:hint="eastAsia"/>
                <w:color w:val="000000" w:themeColor="text1"/>
                <w:lang w:val="zh-CN"/>
                <w14:textFill>
                  <w14:solidFill>
                    <w14:schemeClr w14:val="tx1"/>
                  </w14:solidFill>
                </w14:textFill>
              </w:rPr>
              <w:t>）预算金额或最高限价；</w:t>
            </w:r>
          </w:p>
          <w:p w14:paraId="55A613E5">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投标报价不存在缺项、漏项。</w:t>
            </w:r>
          </w:p>
        </w:tc>
      </w:tr>
      <w:tr w14:paraId="13F4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03A47561">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11DBCF40">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投标文件</w:t>
            </w:r>
            <w:r>
              <w:rPr>
                <w:rFonts w:hint="eastAsia"/>
                <w:color w:val="000000" w:themeColor="text1"/>
                <w14:textFill>
                  <w14:solidFill>
                    <w14:schemeClr w14:val="tx1"/>
                  </w14:solidFill>
                </w14:textFill>
              </w:rPr>
              <w:t>签署</w:t>
            </w:r>
          </w:p>
        </w:tc>
        <w:tc>
          <w:tcPr>
            <w:tcW w:w="5546" w:type="dxa"/>
            <w:vAlign w:val="center"/>
          </w:tcPr>
          <w:p w14:paraId="14D37255">
            <w:pPr>
              <w:pStyle w:val="95"/>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按照招标文件要求签署、盖章。</w:t>
            </w:r>
          </w:p>
        </w:tc>
      </w:tr>
      <w:tr w14:paraId="36D14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06033D5A">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38CC37A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强制采购节能产品</w:t>
            </w:r>
          </w:p>
        </w:tc>
        <w:tc>
          <w:tcPr>
            <w:tcW w:w="5546" w:type="dxa"/>
            <w:vAlign w:val="center"/>
          </w:tcPr>
          <w:p w14:paraId="17539F4B">
            <w:pPr>
              <w:pStyle w:val="95"/>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依据财库[2019]9号文的规定，如属于强制节能产品</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须提供国家确定的认证机构出具的、处于有效期内的节能产品认证证书或中国政府采购网节能产品查询截图，未提供的视为</w:t>
            </w:r>
            <w:r>
              <w:rPr>
                <w:rFonts w:hint="eastAsia"/>
                <w:b/>
                <w:bCs/>
                <w:color w:val="000000" w:themeColor="text1"/>
                <w14:textFill>
                  <w14:solidFill>
                    <w14:schemeClr w14:val="tx1"/>
                  </w14:solidFill>
                </w14:textFill>
              </w:rPr>
              <w:t>无效响应</w:t>
            </w:r>
            <w:r>
              <w:rPr>
                <w:rFonts w:hint="eastAsia"/>
                <w:color w:val="000000" w:themeColor="text1"/>
                <w14:textFill>
                  <w14:solidFill>
                    <w14:schemeClr w14:val="tx1"/>
                  </w14:solidFill>
                </w14:textFill>
              </w:rPr>
              <w:t>（认证证书或查询截图的产品型号与所投产品不一致的，视为未提供）。</w:t>
            </w:r>
          </w:p>
        </w:tc>
      </w:tr>
      <w:tr w14:paraId="68F53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2F7823FA">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3C7E55E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进口产品</w:t>
            </w:r>
          </w:p>
        </w:tc>
        <w:tc>
          <w:tcPr>
            <w:tcW w:w="5546" w:type="dxa"/>
            <w:vAlign w:val="center"/>
          </w:tcPr>
          <w:p w14:paraId="420DEE13">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招标文件不接受进口产品投标时，投标人所投产品</w:t>
            </w:r>
            <w:r>
              <w:rPr>
                <w:rFonts w:hint="eastAsia"/>
                <w:color w:val="000000" w:themeColor="text1"/>
                <w14:textFill>
                  <w14:solidFill>
                    <w14:schemeClr w14:val="tx1"/>
                  </w14:solidFill>
                </w14:textFill>
              </w:rPr>
              <w:t>不</w:t>
            </w:r>
            <w:r>
              <w:rPr>
                <w:rFonts w:hint="eastAsia"/>
                <w:color w:val="000000" w:themeColor="text1"/>
                <w:lang w:val="zh-CN"/>
                <w14:textFill>
                  <w14:solidFill>
                    <w14:schemeClr w14:val="tx1"/>
                  </w14:solidFill>
                </w14:textFill>
              </w:rPr>
              <w:t>是通过中国海关报关验放进入中国境内且产自关境外的。</w:t>
            </w:r>
          </w:p>
        </w:tc>
      </w:tr>
      <w:tr w14:paraId="0D85F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25CC653E">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4649A29B">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实质性要求</w:t>
            </w:r>
          </w:p>
        </w:tc>
        <w:tc>
          <w:tcPr>
            <w:tcW w:w="5546" w:type="dxa"/>
            <w:vAlign w:val="center"/>
          </w:tcPr>
          <w:p w14:paraId="74954A23">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）满足招标文件第三章“项目采购需求”中要求的实质性条款；</w:t>
            </w:r>
          </w:p>
          <w:p w14:paraId="730CA861">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）投标有效期满足招标文件要求；</w:t>
            </w:r>
          </w:p>
          <w:p w14:paraId="188DFE8C">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）没有</w:t>
            </w:r>
            <w:r>
              <w:rPr>
                <w:color w:val="000000" w:themeColor="text1"/>
                <w:lang w:val="zh-CN"/>
                <w14:textFill>
                  <w14:solidFill>
                    <w14:schemeClr w14:val="tx1"/>
                  </w14:solidFill>
                </w14:textFill>
              </w:rPr>
              <w:t>采购人不能接受的附加条件</w:t>
            </w:r>
            <w:r>
              <w:rPr>
                <w:rFonts w:hint="eastAsia"/>
                <w:color w:val="000000" w:themeColor="text1"/>
                <w:lang w:val="zh-CN"/>
                <w14:textFill>
                  <w14:solidFill>
                    <w14:schemeClr w14:val="tx1"/>
                  </w14:solidFill>
                </w14:textFill>
              </w:rPr>
              <w:t>。</w:t>
            </w:r>
          </w:p>
        </w:tc>
      </w:tr>
      <w:tr w14:paraId="70E7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06A98875">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0AC462A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围标串标情形</w:t>
            </w:r>
          </w:p>
        </w:tc>
        <w:tc>
          <w:tcPr>
            <w:tcW w:w="5546" w:type="dxa"/>
            <w:vAlign w:val="center"/>
          </w:tcPr>
          <w:p w14:paraId="572D937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投标人不存在下列任一情形：</w:t>
            </w:r>
          </w:p>
          <w:p w14:paraId="45361E2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（1）不同投标人的投标文件由同一单位或者个人编制；</w:t>
            </w:r>
          </w:p>
          <w:p w14:paraId="23F1D1F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（2）不同投标人委托同一单位或者个人办理投标事宜；</w:t>
            </w:r>
          </w:p>
          <w:p w14:paraId="3BD93E4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（3）不同投标人的投标文件载明的项目管理成员或者联系人员为同一人；</w:t>
            </w:r>
          </w:p>
          <w:p w14:paraId="1FABA5D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（4）不同投标人的投标文件异常一致或者投标报价呈规律性差异；</w:t>
            </w:r>
          </w:p>
          <w:p w14:paraId="19B135C3">
            <w:pPr>
              <w:pStyle w:val="95"/>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zh-CN"/>
                <w14:textFill>
                  <w14:solidFill>
                    <w14:schemeClr w14:val="tx1"/>
                  </w14:solidFill>
                </w14:textFill>
              </w:rPr>
              <w:t>不同投标人使用同一电脑（机器特征值一致：如</w:t>
            </w:r>
            <w:r>
              <w:rPr>
                <w:color w:val="000000" w:themeColor="text1"/>
                <w:lang w:val="zh-CN"/>
                <w14:textFill>
                  <w14:solidFill>
                    <w14:schemeClr w14:val="tx1"/>
                  </w14:solidFill>
                </w14:textFill>
              </w:rPr>
              <w:t>MAC地址等）或使用同一电子密钥，编制或上传电子投标文件。</w:t>
            </w:r>
          </w:p>
        </w:tc>
      </w:tr>
      <w:tr w14:paraId="34937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3" w:type="dxa"/>
            <w:vAlign w:val="center"/>
          </w:tcPr>
          <w:p w14:paraId="0A98BD61">
            <w:pPr>
              <w:pStyle w:val="95"/>
              <w:numPr>
                <w:ilvl w:val="0"/>
                <w:numId w:val="22"/>
              </w:numPr>
              <w:ind w:left="0"/>
              <w:rPr>
                <w:rFonts w:hint="eastAsia"/>
                <w:color w:val="000000" w:themeColor="text1"/>
                <w:lang w:val="zh-CN"/>
                <w14:textFill>
                  <w14:solidFill>
                    <w14:schemeClr w14:val="tx1"/>
                  </w14:solidFill>
                </w14:textFill>
              </w:rPr>
            </w:pPr>
          </w:p>
        </w:tc>
        <w:tc>
          <w:tcPr>
            <w:tcW w:w="2163" w:type="dxa"/>
            <w:vAlign w:val="center"/>
          </w:tcPr>
          <w:p w14:paraId="150B6484">
            <w:pPr>
              <w:pStyle w:val="95"/>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其他</w:t>
            </w:r>
            <w:r>
              <w:rPr>
                <w:rFonts w:hint="eastAsia"/>
                <w:color w:val="000000" w:themeColor="text1"/>
                <w:lang w:val="zh-CN"/>
                <w14:textFill>
                  <w14:solidFill>
                    <w14:schemeClr w14:val="tx1"/>
                  </w14:solidFill>
                </w14:textFill>
              </w:rPr>
              <w:t>无效情形</w:t>
            </w:r>
          </w:p>
        </w:tc>
        <w:tc>
          <w:tcPr>
            <w:tcW w:w="5546" w:type="dxa"/>
            <w:vAlign w:val="center"/>
          </w:tcPr>
          <w:p w14:paraId="3CE3FBC6">
            <w:pPr>
              <w:pStyle w:val="95"/>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不存在</w:t>
            </w:r>
            <w:r>
              <w:rPr>
                <w:color w:val="000000" w:themeColor="text1"/>
                <w:lang w:val="zh-CN"/>
                <w14:textFill>
                  <w14:solidFill>
                    <w14:schemeClr w14:val="tx1"/>
                  </w14:solidFill>
                </w14:textFill>
              </w:rPr>
              <w:t>法律、法规</w:t>
            </w:r>
            <w:r>
              <w:rPr>
                <w:rFonts w:hint="eastAsia"/>
                <w:color w:val="000000" w:themeColor="text1"/>
                <w:lang w:val="zh-CN"/>
                <w14:textFill>
                  <w14:solidFill>
                    <w14:schemeClr w14:val="tx1"/>
                  </w14:solidFill>
                </w14:textFill>
              </w:rPr>
              <w:t>和招标文件</w:t>
            </w:r>
            <w:r>
              <w:rPr>
                <w:color w:val="000000" w:themeColor="text1"/>
                <w:lang w:val="zh-CN"/>
                <w14:textFill>
                  <w14:solidFill>
                    <w14:schemeClr w14:val="tx1"/>
                  </w14:solidFill>
                </w14:textFill>
              </w:rPr>
              <w:t>规定的其他</w:t>
            </w:r>
            <w:r>
              <w:rPr>
                <w:rFonts w:hint="eastAsia"/>
                <w:b/>
                <w:bCs/>
                <w:color w:val="000000" w:themeColor="text1"/>
                <w:lang w:val="zh-CN"/>
                <w14:textFill>
                  <w14:solidFill>
                    <w14:schemeClr w14:val="tx1"/>
                  </w14:solidFill>
                </w14:textFill>
              </w:rPr>
              <w:t>无效投标</w:t>
            </w:r>
            <w:r>
              <w:rPr>
                <w:color w:val="000000" w:themeColor="text1"/>
                <w:lang w:val="zh-CN"/>
                <w14:textFill>
                  <w14:solidFill>
                    <w14:schemeClr w14:val="tx1"/>
                  </w14:solidFill>
                </w14:textFill>
              </w:rPr>
              <w:t>情形。</w:t>
            </w:r>
          </w:p>
        </w:tc>
      </w:tr>
    </w:tbl>
    <w:p w14:paraId="4481623A">
      <w:pPr>
        <w:rPr>
          <w:rFonts w:hint="eastAsia"/>
          <w:color w:val="000000" w:themeColor="text1"/>
          <w14:textFill>
            <w14:solidFill>
              <w14:schemeClr w14:val="tx1"/>
            </w14:solidFill>
          </w14:textFill>
        </w:rPr>
      </w:pPr>
      <w:bookmarkStart w:id="400" w:name="_Toc155185917"/>
    </w:p>
    <w:p w14:paraId="19CB8D5E">
      <w:pPr>
        <w:pStyle w:val="5"/>
        <w:spacing w:before="0" w:after="0"/>
        <w:ind w:hanging="420"/>
        <w:rPr>
          <w:rFonts w:hint="eastAsia"/>
          <w:color w:val="000000" w:themeColor="text1"/>
          <w:lang w:val="zh-CN"/>
          <w14:textFill>
            <w14:solidFill>
              <w14:schemeClr w14:val="tx1"/>
            </w14:solidFill>
          </w14:textFill>
        </w:rPr>
      </w:pPr>
      <w:bookmarkStart w:id="401" w:name="_Toc8771"/>
      <w:r>
        <w:rPr>
          <w:rFonts w:hint="eastAsia"/>
          <w:color w:val="000000" w:themeColor="text1"/>
          <w:lang w:val="zh-CN"/>
          <w14:textFill>
            <w14:solidFill>
              <w14:schemeClr w14:val="tx1"/>
            </w14:solidFill>
          </w14:textFill>
        </w:rPr>
        <w:t>（二）评分标准</w:t>
      </w:r>
      <w:bookmarkEnd w:id="400"/>
      <w:bookmarkEnd w:id="401"/>
    </w:p>
    <w:p w14:paraId="465ED231">
      <w:pPr>
        <w:pStyle w:val="4"/>
        <w:spacing w:before="0" w:after="0"/>
        <w:rPr>
          <w:rFonts w:hint="eastAsia"/>
          <w:color w:val="000000" w:themeColor="text1"/>
          <w:sz w:val="30"/>
          <w:szCs w:val="30"/>
          <w14:textFill>
            <w14:solidFill>
              <w14:schemeClr w14:val="tx1"/>
            </w14:solidFill>
          </w14:textFill>
        </w:rPr>
      </w:pPr>
      <w:bookmarkStart w:id="402" w:name="_Toc193288303"/>
      <w:bookmarkStart w:id="403" w:name="_Toc1458938"/>
      <w:bookmarkStart w:id="404" w:name="_Toc21747"/>
      <w:r>
        <w:rPr>
          <w:rFonts w:hint="eastAsia"/>
          <w:color w:val="000000" w:themeColor="text1"/>
          <w:sz w:val="30"/>
          <w:szCs w:val="30"/>
          <w14:textFill>
            <w14:solidFill>
              <w14:schemeClr w14:val="tx1"/>
            </w14:solidFill>
          </w14:textFill>
        </w:rPr>
        <w:t>一、评标方法</w:t>
      </w:r>
      <w:bookmarkEnd w:id="402"/>
      <w:bookmarkEnd w:id="403"/>
      <w:bookmarkEnd w:id="404"/>
      <w:bookmarkStart w:id="405" w:name="_Toc193288304"/>
    </w:p>
    <w:p w14:paraId="4EDEAEF7">
      <w:pPr>
        <w:widowControl/>
        <w:spacing w:line="300" w:lineRule="exact"/>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本项目采用综合评分法</w:t>
      </w:r>
      <w:bookmarkEnd w:id="405"/>
      <w:r>
        <w:rPr>
          <w:rFonts w:hint="eastAsia"/>
          <w:color w:val="000000" w:themeColor="text1"/>
          <w:szCs w:val="24"/>
          <w14:textFill>
            <w14:solidFill>
              <w14:schemeClr w14:val="tx1"/>
            </w14:solidFill>
          </w14:textFill>
        </w:rPr>
        <w:t>。综合评分法</w:t>
      </w:r>
      <w:r>
        <w:rPr>
          <w:color w:val="000000" w:themeColor="text1"/>
          <w:szCs w:val="24"/>
          <w14:textFill>
            <w14:solidFill>
              <w14:schemeClr w14:val="tx1"/>
            </w14:solidFill>
          </w14:textFill>
        </w:rPr>
        <w:t>是指</w:t>
      </w:r>
      <w:r>
        <w:rPr>
          <w:rFonts w:hint="eastAsia"/>
          <w:color w:val="000000" w:themeColor="text1"/>
          <w:szCs w:val="24"/>
          <w14:textFill>
            <w14:solidFill>
              <w14:schemeClr w14:val="tx1"/>
            </w14:solidFill>
          </w14:textFill>
        </w:rPr>
        <w:t>投标</w:t>
      </w:r>
      <w:r>
        <w:rPr>
          <w:color w:val="000000" w:themeColor="text1"/>
          <w:szCs w:val="24"/>
          <w14:textFill>
            <w14:solidFill>
              <w14:schemeClr w14:val="tx1"/>
            </w14:solidFill>
          </w14:textFill>
        </w:rPr>
        <w:t>文件</w:t>
      </w:r>
      <w:r>
        <w:rPr>
          <w:rFonts w:hint="eastAsia"/>
          <w:color w:val="000000" w:themeColor="text1"/>
          <w:szCs w:val="24"/>
          <w14:textFill>
            <w14:solidFill>
              <w14:schemeClr w14:val="tx1"/>
            </w14:solidFill>
          </w14:textFill>
        </w:rPr>
        <w:t>全部</w:t>
      </w:r>
      <w:r>
        <w:rPr>
          <w:color w:val="000000" w:themeColor="text1"/>
          <w:szCs w:val="24"/>
          <w14:textFill>
            <w14:solidFill>
              <w14:schemeClr w14:val="tx1"/>
            </w14:solidFill>
          </w14:textFill>
        </w:rPr>
        <w:t>实质性满足</w:t>
      </w:r>
      <w:r>
        <w:rPr>
          <w:rFonts w:hint="eastAsia"/>
          <w:color w:val="000000" w:themeColor="text1"/>
          <w:szCs w:val="24"/>
          <w14:textFill>
            <w14:solidFill>
              <w14:schemeClr w14:val="tx1"/>
            </w14:solidFill>
          </w14:textFill>
        </w:rPr>
        <w:t>招标</w:t>
      </w:r>
      <w:r>
        <w:rPr>
          <w:color w:val="000000" w:themeColor="text1"/>
          <w:szCs w:val="24"/>
          <w14:textFill>
            <w14:solidFill>
              <w14:schemeClr w14:val="tx1"/>
            </w14:solidFill>
          </w14:textFill>
        </w:rPr>
        <w:t>文件要求，且按照评</w:t>
      </w:r>
      <w:r>
        <w:rPr>
          <w:rFonts w:hint="eastAsia"/>
          <w:color w:val="000000" w:themeColor="text1"/>
          <w:szCs w:val="24"/>
          <w14:textFill>
            <w14:solidFill>
              <w14:schemeClr w14:val="tx1"/>
            </w14:solidFill>
          </w14:textFill>
        </w:rPr>
        <w:t>标</w:t>
      </w:r>
      <w:r>
        <w:rPr>
          <w:color w:val="000000" w:themeColor="text1"/>
          <w:szCs w:val="24"/>
          <w14:textFill>
            <w14:solidFill>
              <w14:schemeClr w14:val="tx1"/>
            </w14:solidFill>
          </w14:textFill>
        </w:rPr>
        <w:t>因素的量化指标评审得分最高的</w:t>
      </w:r>
      <w:r>
        <w:rPr>
          <w:rFonts w:hint="eastAsia"/>
          <w:color w:val="000000" w:themeColor="text1"/>
          <w:szCs w:val="24"/>
          <w14:textFill>
            <w14:solidFill>
              <w14:schemeClr w14:val="tx1"/>
            </w14:solidFill>
          </w14:textFill>
        </w:rPr>
        <w:t>投标人</w:t>
      </w:r>
      <w:r>
        <w:rPr>
          <w:color w:val="000000" w:themeColor="text1"/>
          <w:szCs w:val="24"/>
          <w14:textFill>
            <w14:solidFill>
              <w14:schemeClr w14:val="tx1"/>
            </w14:solidFill>
          </w14:textFill>
        </w:rPr>
        <w:t>为</w:t>
      </w:r>
      <w:r>
        <w:rPr>
          <w:rFonts w:hint="eastAsia"/>
          <w:color w:val="000000" w:themeColor="text1"/>
          <w:szCs w:val="24"/>
          <w14:textFill>
            <w14:solidFill>
              <w14:schemeClr w14:val="tx1"/>
            </w14:solidFill>
          </w14:textFill>
        </w:rPr>
        <w:t>中标</w:t>
      </w:r>
      <w:r>
        <w:rPr>
          <w:color w:val="000000" w:themeColor="text1"/>
          <w:szCs w:val="24"/>
          <w14:textFill>
            <w14:solidFill>
              <w14:schemeClr w14:val="tx1"/>
            </w14:solidFill>
          </w14:textFill>
        </w:rPr>
        <w:t>候选</w:t>
      </w:r>
      <w:r>
        <w:rPr>
          <w:rFonts w:hint="eastAsia"/>
          <w:color w:val="000000" w:themeColor="text1"/>
          <w:szCs w:val="24"/>
          <w14:textFill>
            <w14:solidFill>
              <w14:schemeClr w14:val="tx1"/>
            </w14:solidFill>
          </w14:textFill>
        </w:rPr>
        <w:t>投标人</w:t>
      </w:r>
      <w:r>
        <w:rPr>
          <w:color w:val="000000" w:themeColor="text1"/>
          <w:szCs w:val="24"/>
          <w14:textFill>
            <w14:solidFill>
              <w14:schemeClr w14:val="tx1"/>
            </w14:solidFill>
          </w14:textFill>
        </w:rPr>
        <w:t>的</w:t>
      </w:r>
      <w:r>
        <w:rPr>
          <w:rFonts w:hint="eastAsia"/>
          <w:color w:val="000000" w:themeColor="text1"/>
          <w:szCs w:val="24"/>
          <w14:textFill>
            <w14:solidFill>
              <w14:schemeClr w14:val="tx1"/>
            </w14:solidFill>
          </w14:textFill>
        </w:rPr>
        <w:t>评审</w:t>
      </w:r>
      <w:r>
        <w:rPr>
          <w:color w:val="000000" w:themeColor="text1"/>
          <w:szCs w:val="24"/>
          <w14:textFill>
            <w14:solidFill>
              <w14:schemeClr w14:val="tx1"/>
            </w14:solidFill>
          </w14:textFill>
        </w:rPr>
        <w:t>方法。</w:t>
      </w:r>
    </w:p>
    <w:p w14:paraId="6C032BBE">
      <w:pPr>
        <w:pStyle w:val="4"/>
        <w:spacing w:before="0" w:after="0"/>
        <w:rPr>
          <w:rFonts w:hint="eastAsia"/>
          <w:color w:val="000000" w:themeColor="text1"/>
          <w:sz w:val="30"/>
          <w:szCs w:val="30"/>
          <w14:textFill>
            <w14:solidFill>
              <w14:schemeClr w14:val="tx1"/>
            </w14:solidFill>
          </w14:textFill>
        </w:rPr>
      </w:pPr>
      <w:bookmarkStart w:id="406" w:name="_Toc193288305"/>
      <w:bookmarkStart w:id="407" w:name="_Toc28379"/>
      <w:bookmarkStart w:id="408" w:name="_Toc1458939"/>
      <w:r>
        <w:rPr>
          <w:rFonts w:hint="eastAsia"/>
          <w:color w:val="000000" w:themeColor="text1"/>
          <w:sz w:val="30"/>
          <w:szCs w:val="30"/>
          <w14:textFill>
            <w14:solidFill>
              <w14:schemeClr w14:val="tx1"/>
            </w14:solidFill>
          </w14:textFill>
        </w:rPr>
        <w:t>二、</w:t>
      </w:r>
      <w:bookmarkStart w:id="409" w:name="_Toc509997296"/>
      <w:bookmarkStart w:id="410" w:name="_Toc1421491"/>
      <w:bookmarkStart w:id="411" w:name="_Toc494799112"/>
      <w:r>
        <w:rPr>
          <w:rFonts w:hint="eastAsia"/>
          <w:color w:val="000000" w:themeColor="text1"/>
          <w:sz w:val="30"/>
          <w:szCs w:val="30"/>
          <w14:textFill>
            <w14:solidFill>
              <w14:schemeClr w14:val="tx1"/>
            </w14:solidFill>
          </w14:textFill>
        </w:rPr>
        <w:t>评分标准</w:t>
      </w:r>
      <w:bookmarkEnd w:id="406"/>
      <w:bookmarkEnd w:id="407"/>
      <w:bookmarkEnd w:id="408"/>
      <w:bookmarkEnd w:id="409"/>
      <w:bookmarkEnd w:id="410"/>
      <w:bookmarkEnd w:id="411"/>
    </w:p>
    <w:tbl>
      <w:tblPr>
        <w:tblStyle w:val="81"/>
        <w:tblpPr w:leftFromText="180" w:rightFromText="180" w:vertAnchor="text" w:horzAnchor="page" w:tblpX="1635"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386"/>
        <w:gridCol w:w="6425"/>
      </w:tblGrid>
      <w:tr w14:paraId="7070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93" w:type="dxa"/>
          </w:tcPr>
          <w:p w14:paraId="16C6A846">
            <w:pPr>
              <w:widowControl/>
              <w:textAlignment w:val="center"/>
              <w:rPr>
                <w:rFonts w:hint="eastAsia"/>
                <w:color w:val="000000" w:themeColor="text1"/>
                <w:szCs w:val="24"/>
                <w:lang w:bidi="ar"/>
                <w14:textFill>
                  <w14:solidFill>
                    <w14:schemeClr w14:val="tx1"/>
                  </w14:solidFill>
                </w14:textFill>
              </w:rPr>
            </w:pPr>
          </w:p>
          <w:p w14:paraId="14D6D686">
            <w:pPr>
              <w:widowControl/>
              <w:textAlignment w:val="center"/>
              <w:rPr>
                <w:rFonts w:hint="eastAsia"/>
                <w:color w:val="000000" w:themeColor="text1"/>
                <w:szCs w:val="24"/>
                <w:lang w:bidi="ar"/>
                <w14:textFill>
                  <w14:solidFill>
                    <w14:schemeClr w14:val="tx1"/>
                  </w14:solidFill>
                </w14:textFill>
              </w:rPr>
            </w:pPr>
          </w:p>
          <w:p w14:paraId="7E3D02B4">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lang w:bidi="ar"/>
                <w14:textFill>
                  <w14:solidFill>
                    <w14:schemeClr w14:val="tx1"/>
                  </w14:solidFill>
                </w14:textFill>
              </w:rPr>
              <w:t>价格部分（40分）</w:t>
            </w:r>
          </w:p>
        </w:tc>
        <w:tc>
          <w:tcPr>
            <w:tcW w:w="7811" w:type="dxa"/>
            <w:gridSpan w:val="2"/>
          </w:tcPr>
          <w:p w14:paraId="2D1B66DF">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价格评分的计算方法如下：</w:t>
            </w:r>
          </w:p>
          <w:p w14:paraId="336CDAE6">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1、满足招标文件要求且最后投标报价最低的报价为基准价（D），其价格分为满分；</w:t>
            </w:r>
          </w:p>
          <w:p w14:paraId="04039738">
            <w:pPr>
              <w:widowControl/>
              <w:textAlignment w:val="cente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2、其他合格供应商的报价得分按如下公式计算：报价得分=（基准价D/最后报价V）×价格权值×100，价格权值= 40% </w:t>
            </w:r>
          </w:p>
          <w:p w14:paraId="4921CCF4">
            <w:pPr>
              <w:pStyle w:val="31"/>
              <w:spacing w:after="0"/>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将其作为无效投标处理。</w:t>
            </w:r>
          </w:p>
        </w:tc>
      </w:tr>
      <w:tr w14:paraId="4DE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tcPr>
          <w:p w14:paraId="465CAA74">
            <w:pPr>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商务部分（10分）</w:t>
            </w:r>
          </w:p>
        </w:tc>
        <w:tc>
          <w:tcPr>
            <w:tcW w:w="1386" w:type="dxa"/>
          </w:tcPr>
          <w:p w14:paraId="44CE4AFB">
            <w:pPr>
              <w:widowControl/>
              <w:jc w:val="both"/>
              <w:textAlignment w:val="center"/>
              <w:rPr>
                <w:rFonts w:hint="eastAsia"/>
                <w:color w:val="000000" w:themeColor="text1"/>
                <w:szCs w:val="24"/>
                <w:lang w:bidi="ar"/>
                <w14:textFill>
                  <w14:solidFill>
                    <w14:schemeClr w14:val="tx1"/>
                  </w14:solidFill>
                </w14:textFill>
              </w:rPr>
            </w:pPr>
            <w:r>
              <w:rPr>
                <w:rFonts w:hint="eastAsia"/>
                <w:color w:val="000000" w:themeColor="text1"/>
                <w:szCs w:val="24"/>
                <w:lang w:bidi="ar"/>
                <w14:textFill>
                  <w14:solidFill>
                    <w14:schemeClr w14:val="tx1"/>
                  </w14:solidFill>
                </w14:textFill>
              </w:rPr>
              <w:t>类似业绩（10分）</w:t>
            </w:r>
          </w:p>
        </w:tc>
        <w:tc>
          <w:tcPr>
            <w:tcW w:w="6425" w:type="dxa"/>
            <w:vAlign w:val="center"/>
          </w:tcPr>
          <w:p w14:paraId="6EA7A99E">
            <w:pPr>
              <w:widowControl/>
              <w:rPr>
                <w:rFonts w:hint="eastAsia"/>
                <w:color w:val="000000" w:themeColor="text1"/>
                <w14:textFill>
                  <w14:solidFill>
                    <w14:schemeClr w14:val="tx1"/>
                  </w14:solidFill>
                </w14:textFill>
              </w:rPr>
            </w:pPr>
            <w:r>
              <w:rPr>
                <w:rFonts w:hint="eastAsia"/>
                <w:bCs/>
                <w:color w:val="000000" w:themeColor="text1"/>
                <w:szCs w:val="24"/>
                <w14:textFill>
                  <w14:solidFill>
                    <w14:schemeClr w14:val="tx1"/>
                  </w14:solidFill>
                </w14:textFill>
              </w:rPr>
              <w:t>投标人近三年(投标截止时间前)以签订合同时间为准，承担过与本项目相类似业绩，每提供 1个类似业绩计 2 分，本项最高分得10分，未提供不计分。</w:t>
            </w:r>
          </w:p>
        </w:tc>
      </w:tr>
      <w:tr w14:paraId="1087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restart"/>
            <w:vAlign w:val="center"/>
          </w:tcPr>
          <w:p w14:paraId="4EAB4106">
            <w:pPr>
              <w:adjustRightInd w:val="0"/>
              <w:snapToGrid w:val="0"/>
              <w:spacing w:line="450" w:lineRule="exact"/>
              <w:jc w:val="both"/>
              <w:rPr>
                <w:rFonts w:hint="eastAsia"/>
                <w:color w:val="000000" w:themeColor="text1"/>
                <w:spacing w:val="-6"/>
                <w:szCs w:val="24"/>
                <w14:textFill>
                  <w14:solidFill>
                    <w14:schemeClr w14:val="tx1"/>
                  </w14:solidFill>
                </w14:textFill>
              </w:rPr>
            </w:pPr>
            <w:r>
              <w:rPr>
                <w:rFonts w:hint="eastAsia"/>
                <w:color w:val="000000" w:themeColor="text1"/>
                <w:spacing w:val="-6"/>
                <w:szCs w:val="24"/>
                <w14:textFill>
                  <w14:solidFill>
                    <w14:schemeClr w14:val="tx1"/>
                  </w14:solidFill>
                </w14:textFill>
              </w:rPr>
              <w:t>技术部分（50分）</w:t>
            </w:r>
          </w:p>
        </w:tc>
        <w:tc>
          <w:tcPr>
            <w:tcW w:w="1386" w:type="dxa"/>
          </w:tcPr>
          <w:p w14:paraId="71785658">
            <w:pPr>
              <w:pStyle w:val="74"/>
              <w:spacing w:before="0" w:beforeAutospacing="0" w:after="0" w:afterAutospacing="0"/>
              <w:jc w:val="both"/>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参数及功能（35分）</w:t>
            </w:r>
          </w:p>
        </w:tc>
        <w:tc>
          <w:tcPr>
            <w:tcW w:w="6425" w:type="dxa"/>
          </w:tcPr>
          <w:p w14:paraId="600EB07B">
            <w:pPr>
              <w:pStyle w:val="74"/>
              <w:spacing w:before="0" w:beforeAutospacing="0" w:after="0" w:afterAutospacing="0"/>
              <w:jc w:val="both"/>
              <w:rPr>
                <w:rFonts w:hint="eastAsia"/>
                <w:bCs/>
                <w:color w:val="000000" w:themeColor="text1"/>
                <w14:textFill>
                  <w14:solidFill>
                    <w14:schemeClr w14:val="tx1"/>
                  </w14:solidFill>
                </w14:textFill>
              </w:rPr>
            </w:pPr>
            <w:r>
              <w:rPr>
                <w:rFonts w:hint="eastAsia"/>
                <w:bCs/>
                <w:color w:val="000000" w:themeColor="text1"/>
                <w14:textFill>
                  <w14:solidFill>
                    <w14:schemeClr w14:val="tx1"/>
                  </w14:solidFill>
                </w14:textFill>
              </w:rPr>
              <w:t>供应商所投产品根据招标文件“详细技术指标及功能需求”中的具体功能参数要求，全部响应得满分35分。有一项不响应或负偏离、缺漏项的扣 2 分，总分35分扣完为止。</w:t>
            </w:r>
          </w:p>
          <w:p w14:paraId="57F1D518">
            <w:pPr>
              <w:pStyle w:val="74"/>
              <w:spacing w:before="0" w:beforeAutospacing="0" w:after="0" w:afterAutospacing="0"/>
              <w:jc w:val="both"/>
              <w:rPr>
                <w:rFonts w:hint="eastAsia"/>
                <w:color w:val="000000" w:themeColor="text1"/>
                <w:lang w:bidi="ar"/>
                <w14:textFill>
                  <w14:solidFill>
                    <w14:schemeClr w14:val="tx1"/>
                  </w14:solidFill>
                </w14:textFill>
              </w:rPr>
            </w:pPr>
            <w:r>
              <w:rPr>
                <w:rFonts w:hint="eastAsia"/>
                <w:bCs/>
                <w:color w:val="000000" w:themeColor="text1"/>
                <w14:textFill>
                  <w14:solidFill>
                    <w14:schemeClr w14:val="tx1"/>
                  </w14:solidFill>
                </w14:textFill>
              </w:rPr>
              <w:t>(所投产品参数可高于或优于需求参数)</w:t>
            </w:r>
          </w:p>
        </w:tc>
      </w:tr>
      <w:tr w14:paraId="2E30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continue"/>
          </w:tcPr>
          <w:p w14:paraId="174D8997">
            <w:pPr>
              <w:rPr>
                <w:rFonts w:hint="eastAsia"/>
                <w:color w:val="000000" w:themeColor="text1"/>
                <w:szCs w:val="24"/>
                <w14:textFill>
                  <w14:solidFill>
                    <w14:schemeClr w14:val="tx1"/>
                  </w14:solidFill>
                </w14:textFill>
              </w:rPr>
            </w:pPr>
          </w:p>
        </w:tc>
        <w:tc>
          <w:tcPr>
            <w:tcW w:w="1386" w:type="dxa"/>
            <w:vAlign w:val="center"/>
          </w:tcPr>
          <w:p w14:paraId="18241DAA">
            <w:pPr>
              <w:pStyle w:val="74"/>
              <w:spacing w:before="0" w:beforeAutospacing="0" w:after="0" w:afterAutospacing="0"/>
              <w:jc w:val="both"/>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项目培训方案（5分）</w:t>
            </w:r>
          </w:p>
        </w:tc>
        <w:tc>
          <w:tcPr>
            <w:tcW w:w="6425" w:type="dxa"/>
          </w:tcPr>
          <w:p w14:paraId="5DBFC520">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提供培训方案，方案至少应包括：培训计划、配备的专职培训人员或讲师、 培训内容、培训效果总结方案等内容。</w:t>
            </w:r>
          </w:p>
          <w:p w14:paraId="5AEB4D7F">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1、方案内容完整、科学、可行的得 5 分；</w:t>
            </w:r>
          </w:p>
          <w:p w14:paraId="422ACCF7">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2、方案内容合理、基本可行的得 3 分 ；</w:t>
            </w:r>
          </w:p>
          <w:p w14:paraId="08E64247">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3、方案内容不完整、操作性一般或有瑕疵的得 2 分 ；</w:t>
            </w:r>
          </w:p>
          <w:p w14:paraId="099F6E79">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4、方案内容不合理得 1 分；</w:t>
            </w:r>
          </w:p>
          <w:p w14:paraId="6D251299">
            <w:pPr>
              <w:widowControl/>
              <w:rPr>
                <w:rFonts w:hint="eastAsia" w:cs="宋体"/>
                <w:color w:val="000000" w:themeColor="text1"/>
                <w:szCs w:val="24"/>
                <w:lang w:bidi="ar"/>
                <w14:textFill>
                  <w14:solidFill>
                    <w14:schemeClr w14:val="tx1"/>
                  </w14:solidFill>
                </w14:textFill>
              </w:rPr>
            </w:pPr>
            <w:r>
              <w:rPr>
                <w:rFonts w:hint="eastAsia"/>
                <w:bCs/>
                <w:color w:val="000000" w:themeColor="text1"/>
                <w:szCs w:val="24"/>
                <w14:textFill>
                  <w14:solidFill>
                    <w14:schemeClr w14:val="tx1"/>
                  </w14:solidFill>
                </w14:textFill>
              </w:rPr>
              <w:t>5、方案内容缺失的得0分。</w:t>
            </w:r>
          </w:p>
        </w:tc>
      </w:tr>
      <w:tr w14:paraId="00DC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vMerge w:val="continue"/>
          </w:tcPr>
          <w:p w14:paraId="7CB15E32">
            <w:pPr>
              <w:rPr>
                <w:rFonts w:hint="eastAsia"/>
                <w:color w:val="000000" w:themeColor="text1"/>
                <w:szCs w:val="24"/>
                <w14:textFill>
                  <w14:solidFill>
                    <w14:schemeClr w14:val="tx1"/>
                  </w14:solidFill>
                </w14:textFill>
              </w:rPr>
            </w:pPr>
          </w:p>
        </w:tc>
        <w:tc>
          <w:tcPr>
            <w:tcW w:w="1386" w:type="dxa"/>
            <w:vAlign w:val="center"/>
          </w:tcPr>
          <w:p w14:paraId="4ED8EEC3">
            <w:pPr>
              <w:pStyle w:val="74"/>
              <w:spacing w:before="0" w:beforeAutospacing="0" w:after="0" w:afterAutospacing="0"/>
              <w:jc w:val="both"/>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应急保障方案（5分）</w:t>
            </w:r>
          </w:p>
        </w:tc>
        <w:tc>
          <w:tcPr>
            <w:tcW w:w="6425" w:type="dxa"/>
          </w:tcPr>
          <w:p w14:paraId="568FA72A">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 xml:space="preserve">供应商提供应急保障方案。根据“故障响应时间、运维方式、能力保障、应急保障、备件清单”的描述进行综合评比。方案的“合理性、可行性、全面性、高效性”。 </w:t>
            </w:r>
          </w:p>
          <w:p w14:paraId="5B5058AD">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1、方案内容完整、科学、可行的得 5 分；</w:t>
            </w:r>
          </w:p>
          <w:p w14:paraId="0BB82BED">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2、方案内容合理、基本可行的得 3 分 ；</w:t>
            </w:r>
          </w:p>
          <w:p w14:paraId="320A9CF8">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3、方案内容不完整、操作性一般或有瑕疵的得 2 分 ；</w:t>
            </w:r>
          </w:p>
          <w:p w14:paraId="6656209F">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4、方案内容不合理得 1 分；</w:t>
            </w:r>
          </w:p>
          <w:p w14:paraId="0A4E4E24">
            <w:pPr>
              <w:widowControl/>
              <w:rPr>
                <w:rFonts w:hint="eastAsia" w:cs="宋体"/>
                <w:color w:val="000000" w:themeColor="text1"/>
                <w:szCs w:val="24"/>
                <w:lang w:bidi="ar"/>
                <w14:textFill>
                  <w14:solidFill>
                    <w14:schemeClr w14:val="tx1"/>
                  </w14:solidFill>
                </w14:textFill>
              </w:rPr>
            </w:pPr>
            <w:r>
              <w:rPr>
                <w:rFonts w:hint="eastAsia"/>
                <w:bCs/>
                <w:color w:val="000000" w:themeColor="text1"/>
                <w:szCs w:val="24"/>
                <w14:textFill>
                  <w14:solidFill>
                    <w14:schemeClr w14:val="tx1"/>
                  </w14:solidFill>
                </w14:textFill>
              </w:rPr>
              <w:t>5、方案内容缺失的得0分。</w:t>
            </w:r>
          </w:p>
        </w:tc>
      </w:tr>
      <w:tr w14:paraId="4CCA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93" w:type="dxa"/>
          </w:tcPr>
          <w:p w14:paraId="70D1DC36">
            <w:pPr>
              <w:rPr>
                <w:rFonts w:hint="eastAsia"/>
                <w:color w:val="000000" w:themeColor="text1"/>
                <w:szCs w:val="24"/>
                <w14:textFill>
                  <w14:solidFill>
                    <w14:schemeClr w14:val="tx1"/>
                  </w14:solidFill>
                </w14:textFill>
              </w:rPr>
            </w:pPr>
          </w:p>
        </w:tc>
        <w:tc>
          <w:tcPr>
            <w:tcW w:w="1386" w:type="dxa"/>
            <w:vAlign w:val="center"/>
          </w:tcPr>
          <w:p w14:paraId="7C73377B">
            <w:pPr>
              <w:pStyle w:val="74"/>
              <w:spacing w:before="0" w:beforeAutospacing="0" w:after="0" w:afterAutospacing="0"/>
              <w:jc w:val="both"/>
              <w:rPr>
                <w:rFonts w:hint="eastAsia"/>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安装调试方案（5分）</w:t>
            </w:r>
          </w:p>
        </w:tc>
        <w:tc>
          <w:tcPr>
            <w:tcW w:w="6425" w:type="dxa"/>
          </w:tcPr>
          <w:p w14:paraId="55C0032A">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针对本项目制定详细的现场安装调试方案，方案至少应包含：人员配置、安装措施、安装调试计划、安装调试工期等内容。</w:t>
            </w:r>
          </w:p>
          <w:p w14:paraId="10694AAA">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1、方案内容完整、科学、可行的得 5 分；</w:t>
            </w:r>
          </w:p>
          <w:p w14:paraId="62C3925F">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2、方案内容合理、基本可行的得 3 分 ；</w:t>
            </w:r>
          </w:p>
          <w:p w14:paraId="7907CA5E">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3、方案内容不完整、操作性一般或有瑕疵的得 2 分 ；</w:t>
            </w:r>
          </w:p>
          <w:p w14:paraId="2684F72C">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4、方案内容不合理得 1 分；</w:t>
            </w:r>
          </w:p>
          <w:p w14:paraId="1EC0BC19">
            <w:pPr>
              <w:widowControl/>
              <w:rPr>
                <w:rFonts w:hint="eastAsia"/>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5、方案内容缺失的得0分。</w:t>
            </w:r>
          </w:p>
        </w:tc>
      </w:tr>
    </w:tbl>
    <w:p w14:paraId="29C7E221">
      <w:pPr>
        <w:rPr>
          <w:rFonts w:hint="eastAsia"/>
          <w:b/>
          <w:bCs/>
          <w:color w:val="000000" w:themeColor="text1"/>
          <w:w w:val="95"/>
          <w:sz w:val="30"/>
          <w:szCs w:val="30"/>
          <w14:textFill>
            <w14:solidFill>
              <w14:schemeClr w14:val="tx1"/>
            </w14:solidFill>
          </w14:textFill>
        </w:rPr>
      </w:pPr>
      <w:r>
        <w:rPr>
          <w:rFonts w:hint="eastAsia"/>
          <w:color w:val="000000" w:themeColor="text1"/>
          <w:w w:val="95"/>
          <w14:textFill>
            <w14:solidFill>
              <w14:schemeClr w14:val="tx1"/>
            </w14:solidFill>
          </w14:textFill>
        </w:rPr>
        <w:t>★</w:t>
      </w:r>
      <w:r>
        <w:rPr>
          <w:rFonts w:hint="eastAsia"/>
          <w:b/>
          <w:bCs/>
          <w:color w:val="000000" w:themeColor="text1"/>
          <w:w w:val="95"/>
          <w:sz w:val="30"/>
          <w:szCs w:val="30"/>
          <w14:textFill>
            <w14:solidFill>
              <w14:schemeClr w14:val="tx1"/>
            </w14:solidFill>
          </w14:textFill>
        </w:rPr>
        <w:t>以上证明材料均需要加盖供应商公章，未加盖公章的，视为无效响应。</w:t>
      </w:r>
    </w:p>
    <w:p w14:paraId="669AF0B0">
      <w:pPr>
        <w:rPr>
          <w:rFonts w:hint="eastAsia"/>
          <w:color w:val="000000" w:themeColor="text1"/>
          <w:lang w:val="zh-CN"/>
          <w14:textFill>
            <w14:solidFill>
              <w14:schemeClr w14:val="tx1"/>
            </w14:solidFill>
          </w14:textFill>
        </w:rPr>
        <w:sectPr>
          <w:pgSz w:w="11906" w:h="16838"/>
          <w:pgMar w:top="1440" w:right="1440" w:bottom="1440" w:left="1440" w:header="851" w:footer="992" w:gutter="0"/>
          <w:cols w:space="720" w:num="1"/>
          <w:docGrid w:linePitch="312" w:charSpace="0"/>
        </w:sectPr>
      </w:pPr>
    </w:p>
    <w:p w14:paraId="1E6B1F42">
      <w:pPr>
        <w:pStyle w:val="3"/>
        <w:spacing w:before="0" w:after="0"/>
        <w:ind w:hanging="420"/>
        <w:jc w:val="both"/>
        <w:rPr>
          <w:rFonts w:hint="eastAsia"/>
          <w:color w:val="000000" w:themeColor="text1"/>
          <w:lang w:val="zh-CN"/>
          <w14:textFill>
            <w14:solidFill>
              <w14:schemeClr w14:val="tx1"/>
            </w14:solidFill>
          </w14:textFill>
        </w:rPr>
      </w:pPr>
      <w:bookmarkStart w:id="412" w:name="_Toc155185918"/>
      <w:bookmarkStart w:id="413" w:name="_Toc28137"/>
      <w:r>
        <w:rPr>
          <w:rFonts w:hint="eastAsia"/>
          <w:color w:val="000000" w:themeColor="text1"/>
          <w:lang w:val="zh-CN"/>
          <w14:textFill>
            <w14:solidFill>
              <w14:schemeClr w14:val="tx1"/>
            </w14:solidFill>
          </w14:textFill>
        </w:rPr>
        <w:t>第六章 合同</w:t>
      </w:r>
      <w:bookmarkEnd w:id="412"/>
      <w:r>
        <w:rPr>
          <w:rFonts w:hint="eastAsia"/>
          <w:color w:val="000000" w:themeColor="text1"/>
          <w:lang w:val="zh-CN"/>
          <w14:textFill>
            <w14:solidFill>
              <w14:schemeClr w14:val="tx1"/>
            </w14:solidFill>
          </w14:textFill>
        </w:rPr>
        <w:t>草案</w:t>
      </w:r>
      <w:bookmarkEnd w:id="413"/>
    </w:p>
    <w:p w14:paraId="76B5FB09">
      <w:pPr>
        <w:rPr>
          <w:rFonts w:hint="eastAsia"/>
          <w:color w:val="000000" w:themeColor="text1"/>
          <w:lang w:val="zh-CN"/>
          <w14:textFill>
            <w14:solidFill>
              <w14:schemeClr w14:val="tx1"/>
            </w14:solidFill>
          </w14:textFill>
        </w:rPr>
      </w:pPr>
    </w:p>
    <w:p w14:paraId="16BB24A8">
      <w:pPr>
        <w:jc w:val="center"/>
        <w:rPr>
          <w:rFonts w:hint="eastAsia"/>
          <w:bCs/>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此合同书仅作为签订正式合同时的参考，正式合同书应包括本参考格式的内容）</w:t>
      </w:r>
    </w:p>
    <w:p w14:paraId="74A14FC3">
      <w:pPr>
        <w:rPr>
          <w:rFonts w:hint="eastAsia"/>
          <w:bCs/>
          <w:color w:val="000000" w:themeColor="text1"/>
          <w:sz w:val="28"/>
          <w:szCs w:val="28"/>
          <w14:textFill>
            <w14:solidFill>
              <w14:schemeClr w14:val="tx1"/>
            </w14:solidFill>
          </w14:textFill>
        </w:rPr>
      </w:pPr>
      <w:r>
        <w:rPr>
          <w:rFonts w:hint="eastAsia" w:cs="Helvetica"/>
          <w:bCs/>
          <w:color w:val="000000" w:themeColor="text1"/>
          <w:szCs w:val="24"/>
          <w:lang w:val="zh-CN"/>
          <w14:textFill>
            <w14:solidFill>
              <w14:schemeClr w14:val="tx1"/>
            </w14:solidFill>
          </w14:textFill>
        </w:rPr>
        <w:t>合同编号：</w:t>
      </w:r>
      <w:r>
        <w:rPr>
          <w:rFonts w:hint="eastAsia" w:cs="Helvetica"/>
          <w:bCs/>
          <w:color w:val="000000" w:themeColor="text1"/>
          <w:szCs w:val="24"/>
          <w:u w:val="single"/>
          <w14:textFill>
            <w14:solidFill>
              <w14:schemeClr w14:val="tx1"/>
            </w14:solidFill>
          </w14:textFill>
        </w:rPr>
        <w:t xml:space="preserve">              </w:t>
      </w:r>
    </w:p>
    <w:p w14:paraId="3070B101">
      <w:pPr>
        <w:jc w:val="center"/>
        <w:rPr>
          <w:rFonts w:hint="eastAsia"/>
          <w:b/>
          <w:bCs/>
          <w:color w:val="000000" w:themeColor="text1"/>
          <w:sz w:val="72"/>
          <w:szCs w:val="72"/>
          <w14:textFill>
            <w14:solidFill>
              <w14:schemeClr w14:val="tx1"/>
            </w14:solidFill>
          </w14:textFill>
        </w:rPr>
      </w:pPr>
    </w:p>
    <w:p w14:paraId="05730B6E">
      <w:pPr>
        <w:jc w:val="center"/>
        <w:rPr>
          <w:rFonts w:hint="eastAsia"/>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合   同   书</w:t>
      </w:r>
    </w:p>
    <w:p w14:paraId="392A08BD">
      <w:pPr>
        <w:jc w:val="center"/>
        <w:rPr>
          <w:rFonts w:hint="eastAsia"/>
          <w:bCs/>
          <w:color w:val="000000" w:themeColor="text1"/>
          <w:sz w:val="10"/>
          <w:szCs w:val="10"/>
          <w14:textFill>
            <w14:solidFill>
              <w14:schemeClr w14:val="tx1"/>
            </w14:solidFill>
          </w14:textFill>
        </w:rPr>
      </w:pPr>
    </w:p>
    <w:p w14:paraId="17DE67EB">
      <w:pPr>
        <w:spacing w:before="60" w:beforeLines="25"/>
        <w:rPr>
          <w:rFonts w:hint="eastAsia" w:cs="Helvetica"/>
          <w:color w:val="000000" w:themeColor="text1"/>
          <w:sz w:val="28"/>
          <w:szCs w:val="28"/>
          <w:u w:val="single"/>
          <w:lang w:val="zh-CN"/>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项目名称：</w:t>
      </w:r>
      <w:r>
        <w:rPr>
          <w:rFonts w:hint="eastAsia" w:cs="Helvetica"/>
          <w:color w:val="000000" w:themeColor="text1"/>
          <w:sz w:val="28"/>
          <w:szCs w:val="28"/>
          <w:u w:val="single"/>
          <w:lang w:val="zh-CN"/>
          <w14:textFill>
            <w14:solidFill>
              <w14:schemeClr w14:val="tx1"/>
            </w14:solidFill>
          </w14:textFill>
        </w:rPr>
        <w:t xml:space="preserve">                                             </w:t>
      </w:r>
    </w:p>
    <w:p w14:paraId="51796EDD">
      <w:pPr>
        <w:spacing w:before="60" w:beforeLines="25"/>
        <w:rPr>
          <w:rFonts w:hint="eastAsia" w:cs="Helvetica"/>
          <w:bCs/>
          <w:color w:val="000000" w:themeColor="text1"/>
          <w:sz w:val="28"/>
          <w:szCs w:val="28"/>
          <w:u w:val="single"/>
          <w:lang w:val="zh-CN"/>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甲方（采购人）：</w:t>
      </w:r>
      <w:r>
        <w:rPr>
          <w:rFonts w:hint="eastAsia"/>
          <w:bCs/>
          <w:color w:val="000000" w:themeColor="text1"/>
          <w:sz w:val="28"/>
          <w:szCs w:val="28"/>
          <w:u w:val="single"/>
          <w14:textFill>
            <w14:solidFill>
              <w14:schemeClr w14:val="tx1"/>
            </w14:solidFill>
          </w14:textFill>
        </w:rPr>
        <w:t xml:space="preserve">                                  </w:t>
      </w:r>
      <w:r>
        <w:rPr>
          <w:rFonts w:hint="eastAsia" w:cs="Helvetica"/>
          <w:bCs/>
          <w:color w:val="000000" w:themeColor="text1"/>
          <w:sz w:val="28"/>
          <w:szCs w:val="28"/>
          <w:u w:val="single"/>
          <w:lang w:val="zh-CN"/>
          <w14:textFill>
            <w14:solidFill>
              <w14:schemeClr w14:val="tx1"/>
            </w14:solidFill>
          </w14:textFill>
        </w:rPr>
        <w:t xml:space="preserve">    </w:t>
      </w:r>
    </w:p>
    <w:p w14:paraId="5F36E96C">
      <w:pPr>
        <w:spacing w:before="60" w:beforeLines="25"/>
        <w:rPr>
          <w:rFonts w:hint="eastAsia"/>
          <w:b/>
          <w:color w:val="000000" w:themeColor="text1"/>
          <w:sz w:val="28"/>
          <w:szCs w:val="28"/>
          <w:u w:val="single"/>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乙方（中标人）：</w:t>
      </w:r>
      <w:r>
        <w:rPr>
          <w:rFonts w:hint="eastAsia"/>
          <w:b/>
          <w:color w:val="000000" w:themeColor="text1"/>
          <w:sz w:val="28"/>
          <w:szCs w:val="28"/>
          <w:u w:val="single"/>
          <w14:textFill>
            <w14:solidFill>
              <w14:schemeClr w14:val="tx1"/>
            </w14:solidFill>
          </w14:textFill>
        </w:rPr>
        <w:t xml:space="preserve">                                      </w:t>
      </w:r>
    </w:p>
    <w:p w14:paraId="38F3A0A8">
      <w:pPr>
        <w:spacing w:before="60" w:beforeLines="25"/>
        <w:rPr>
          <w:rFonts w:hint="eastAsia"/>
          <w:color w:val="000000" w:themeColor="text1"/>
          <w:sz w:val="28"/>
          <w:szCs w:val="28"/>
          <w:u w:val="single"/>
          <w14:textFill>
            <w14:solidFill>
              <w14:schemeClr w14:val="tx1"/>
            </w14:solidFill>
          </w14:textFill>
        </w:rPr>
      </w:pPr>
      <w:r>
        <w:rPr>
          <w:rFonts w:hint="eastAsia" w:cs="Helvetica"/>
          <w:b/>
          <w:color w:val="000000" w:themeColor="text1"/>
          <w:sz w:val="28"/>
          <w:szCs w:val="28"/>
          <w:lang w:val="zh-CN"/>
          <w14:textFill>
            <w14:solidFill>
              <w14:schemeClr w14:val="tx1"/>
            </w14:solidFill>
          </w14:textFill>
        </w:rPr>
        <w:t>签订地：</w:t>
      </w:r>
      <w:r>
        <w:rPr>
          <w:rFonts w:hint="eastAsia" w:cs="Helvetica"/>
          <w:color w:val="000000" w:themeColor="text1"/>
          <w:sz w:val="28"/>
          <w:szCs w:val="28"/>
          <w:u w:val="single"/>
          <w:lang w:val="zh-CN"/>
          <w14:textFill>
            <w14:solidFill>
              <w14:schemeClr w14:val="tx1"/>
            </w14:solidFill>
          </w14:textFill>
        </w:rPr>
        <w:t xml:space="preserve">                                               </w:t>
      </w:r>
    </w:p>
    <w:p w14:paraId="5FF265D0">
      <w:pPr>
        <w:spacing w:before="60" w:beforeLines="25"/>
        <w:ind w:firstLine="1200" w:firstLineChars="500"/>
        <w:rPr>
          <w:rFonts w:hint="eastAsia"/>
          <w:color w:val="000000" w:themeColor="text1"/>
          <w:u w:val="single"/>
          <w14:textFill>
            <w14:solidFill>
              <w14:schemeClr w14:val="tx1"/>
            </w14:solidFill>
          </w14:textFill>
        </w:rPr>
      </w:pPr>
    </w:p>
    <w:p w14:paraId="6D4D871D">
      <w:pPr>
        <w:spacing w:before="60" w:beforeLines="25"/>
        <w:ind w:firstLine="1200" w:firstLineChars="500"/>
        <w:rPr>
          <w:rFonts w:hint="eastAsia"/>
          <w:color w:val="000000" w:themeColor="text1"/>
          <w:u w:val="single"/>
          <w14:textFill>
            <w14:solidFill>
              <w14:schemeClr w14:val="tx1"/>
            </w14:solidFill>
          </w14:textFill>
        </w:rPr>
      </w:pPr>
    </w:p>
    <w:p w14:paraId="2A7F513B">
      <w:pPr>
        <w:spacing w:before="60" w:beforeLines="25"/>
        <w:ind w:firstLine="1200" w:firstLineChars="500"/>
        <w:rPr>
          <w:rFonts w:hint="eastAsia"/>
          <w:color w:val="000000" w:themeColor="text1"/>
          <w:u w:val="single"/>
          <w14:textFill>
            <w14:solidFill>
              <w14:schemeClr w14:val="tx1"/>
            </w14:solidFill>
          </w14:textFill>
        </w:rPr>
      </w:pPr>
    </w:p>
    <w:p w14:paraId="42336D36">
      <w:pPr>
        <w:spacing w:before="60" w:beforeLines="25"/>
        <w:ind w:firstLine="1200" w:firstLineChars="500"/>
        <w:rPr>
          <w:rFonts w:hint="eastAsia"/>
          <w:color w:val="000000" w:themeColor="text1"/>
          <w:u w:val="single"/>
          <w14:textFill>
            <w14:solidFill>
              <w14:schemeClr w14:val="tx1"/>
            </w14:solidFill>
          </w14:textFill>
        </w:rPr>
      </w:pPr>
    </w:p>
    <w:p w14:paraId="1A1CF0C3">
      <w:pPr>
        <w:spacing w:before="60" w:beforeLines="25"/>
        <w:ind w:firstLine="1200" w:firstLineChars="500"/>
        <w:rPr>
          <w:rFonts w:hint="eastAsia"/>
          <w:color w:val="000000" w:themeColor="text1"/>
          <w:u w:val="single"/>
          <w14:textFill>
            <w14:solidFill>
              <w14:schemeClr w14:val="tx1"/>
            </w14:solidFill>
          </w14:textFill>
        </w:rPr>
      </w:pPr>
    </w:p>
    <w:p w14:paraId="08FA5BD9">
      <w:pPr>
        <w:spacing w:before="60" w:beforeLines="25"/>
        <w:ind w:firstLine="1200" w:firstLineChars="500"/>
        <w:rPr>
          <w:rFonts w:hint="eastAsia"/>
          <w:color w:val="000000" w:themeColor="text1"/>
          <w:u w:val="single"/>
          <w14:textFill>
            <w14:solidFill>
              <w14:schemeClr w14:val="tx1"/>
            </w14:solidFill>
          </w14:textFill>
        </w:rPr>
      </w:pPr>
    </w:p>
    <w:p w14:paraId="225BF638">
      <w:pPr>
        <w:spacing w:before="60" w:beforeLines="25"/>
        <w:ind w:firstLine="1200" w:firstLineChars="500"/>
        <w:rPr>
          <w:rFonts w:hint="eastAsia"/>
          <w:color w:val="000000" w:themeColor="text1"/>
          <w:u w:val="single"/>
          <w14:textFill>
            <w14:solidFill>
              <w14:schemeClr w14:val="tx1"/>
            </w14:solidFill>
          </w14:textFill>
        </w:rPr>
      </w:pPr>
    </w:p>
    <w:p w14:paraId="35718580">
      <w:pPr>
        <w:spacing w:before="60" w:beforeLines="25"/>
        <w:ind w:firstLine="1205" w:firstLineChars="500"/>
        <w:rPr>
          <w:rFonts w:hint="eastAsia"/>
          <w:b/>
          <w:color w:val="000000" w:themeColor="text1"/>
          <w:szCs w:val="24"/>
          <w14:textFill>
            <w14:solidFill>
              <w14:schemeClr w14:val="tx1"/>
            </w14:solidFill>
          </w14:textFill>
        </w:rPr>
      </w:pPr>
      <w:r>
        <w:rPr>
          <w:rFonts w:hint="eastAsia" w:cs="Helvetica"/>
          <w:b/>
          <w:color w:val="000000" w:themeColor="text1"/>
          <w:szCs w:val="24"/>
          <w:lang w:val="zh-CN"/>
          <w14:textFill>
            <w14:solidFill>
              <w14:schemeClr w14:val="tx1"/>
            </w14:solidFill>
          </w14:textFill>
        </w:rPr>
        <w:t>签订</w:t>
      </w:r>
      <w:r>
        <w:rPr>
          <w:rFonts w:hint="eastAsia"/>
          <w:b/>
          <w:color w:val="000000" w:themeColor="text1"/>
          <w:szCs w:val="24"/>
          <w14:textFill>
            <w14:solidFill>
              <w14:schemeClr w14:val="tx1"/>
            </w14:solidFill>
          </w14:textFill>
        </w:rPr>
        <w:t>日期：</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年</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月</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日</w:t>
      </w:r>
    </w:p>
    <w:p w14:paraId="5172D564">
      <w:pPr>
        <w:spacing w:before="60" w:beforeLines="25"/>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p>
    <w:p w14:paraId="6B2B7593">
      <w:pPr>
        <w:widowControl/>
        <w:rPr>
          <w:rFonts w:hint="eastAsia"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br w:type="page"/>
      </w:r>
    </w:p>
    <w:p w14:paraId="35186A15">
      <w:pPr>
        <w:ind w:firstLine="480" w:firstLineChars="200"/>
        <w:rPr>
          <w:rFonts w:hint="eastAsia"/>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本合同由甲乙双方根据《</w:t>
      </w:r>
      <w:r>
        <w:rPr>
          <w:rFonts w:hint="eastAsia" w:cs="宋体"/>
          <w:color w:val="000000" w:themeColor="text1"/>
          <w14:textFill>
            <w14:solidFill>
              <w14:schemeClr w14:val="tx1"/>
            </w14:solidFill>
          </w14:textFill>
        </w:rPr>
        <w:t>中华人民共和国</w:t>
      </w:r>
      <w:r>
        <w:rPr>
          <w:rFonts w:hint="eastAsia" w:cs="宋体"/>
          <w:color w:val="000000" w:themeColor="text1"/>
          <w:szCs w:val="24"/>
          <w14:textFill>
            <w14:solidFill>
              <w14:schemeClr w14:val="tx1"/>
            </w14:solidFill>
          </w14:textFill>
        </w:rPr>
        <w:t>政府采购法》《</w:t>
      </w:r>
      <w:r>
        <w:rPr>
          <w:rFonts w:hint="eastAsia" w:cs="宋体"/>
          <w:color w:val="000000" w:themeColor="text1"/>
          <w14:textFill>
            <w14:solidFill>
              <w14:schemeClr w14:val="tx1"/>
            </w14:solidFill>
          </w14:textFill>
        </w:rPr>
        <w:t>中华人民共和国</w:t>
      </w:r>
      <w:r>
        <w:rPr>
          <w:rFonts w:hint="eastAsia" w:cs="宋体"/>
          <w:color w:val="000000" w:themeColor="text1"/>
          <w:szCs w:val="24"/>
          <w14:textFill>
            <w14:solidFill>
              <w14:schemeClr w14:val="tx1"/>
            </w14:solidFill>
          </w14:textFill>
        </w:rPr>
        <w:t>政府采购法实施条例》《</w:t>
      </w:r>
      <w:r>
        <w:rPr>
          <w:rFonts w:cs="宋体"/>
          <w:color w:val="000000" w:themeColor="text1"/>
          <w:szCs w:val="24"/>
          <w14:textFill>
            <w14:solidFill>
              <w14:schemeClr w14:val="tx1"/>
            </w14:solidFill>
          </w14:textFill>
        </w:rPr>
        <w:t>中华人民共和国民法典</w:t>
      </w:r>
      <w:r>
        <w:rPr>
          <w:rFonts w:hint="eastAsia" w:cs="宋体"/>
          <w:color w:val="000000" w:themeColor="text1"/>
          <w:szCs w:val="24"/>
          <w14:textFill>
            <w14:solidFill>
              <w14:schemeClr w14:val="tx1"/>
            </w14:solidFill>
          </w14:textFill>
        </w:rPr>
        <w:t>》等相关法律法规规定，按</w:t>
      </w:r>
      <w:r>
        <w:rPr>
          <w:rFonts w:hint="eastAsia"/>
          <w:color w:val="000000" w:themeColor="text1"/>
          <w:szCs w:val="24"/>
          <w14:textFill>
            <w14:solidFill>
              <w14:schemeClr w14:val="tx1"/>
            </w14:solidFill>
          </w14:textFill>
        </w:rPr>
        <w:t>平等、自愿、诚实信用的原则拟定，</w:t>
      </w:r>
      <w:r>
        <w:rPr>
          <w:rFonts w:hint="eastAsia" w:cs="宋体"/>
          <w:color w:val="000000" w:themeColor="text1"/>
          <w14:textFill>
            <w14:solidFill>
              <w14:schemeClr w14:val="tx1"/>
            </w14:solidFill>
          </w14:textFill>
        </w:rPr>
        <w:t>甲、乙双方均应遵守法律规定和合同约定，并各自履行应负的全部责任和义务。</w:t>
      </w:r>
      <w:r>
        <w:rPr>
          <w:color w:val="000000" w:themeColor="text1"/>
          <w:szCs w:val="24"/>
          <w14:textFill>
            <w14:solidFill>
              <w14:schemeClr w14:val="tx1"/>
            </w14:solidFill>
          </w14:textFill>
        </w:rPr>
        <w:t xml:space="preserve"> </w:t>
      </w:r>
    </w:p>
    <w:p w14:paraId="00534627">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项目基本情况</w:t>
      </w:r>
    </w:p>
    <w:p w14:paraId="19BAC39F">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1.项目名称：         </w:t>
      </w:r>
      <w:r>
        <w:rPr>
          <w:rFonts w:hint="eastAsia" w:cs="Helvetica"/>
          <w:bCs/>
          <w:i/>
          <w:iCs/>
          <w:color w:val="000000" w:themeColor="text1"/>
          <w:szCs w:val="24"/>
          <w14:textFill>
            <w14:solidFill>
              <w14:schemeClr w14:val="tx1"/>
            </w14:solidFill>
          </w14:textFill>
        </w:rPr>
        <w:t>(见招标文件)</w:t>
      </w:r>
      <w:r>
        <w:rPr>
          <w:rFonts w:hint="eastAsia"/>
          <w:color w:val="000000" w:themeColor="text1"/>
          <w14:textFill>
            <w14:solidFill>
              <w14:schemeClr w14:val="tx1"/>
            </w14:solidFill>
          </w14:textFill>
        </w:rPr>
        <w:t xml:space="preserve">               </w:t>
      </w:r>
    </w:p>
    <w:p w14:paraId="2590E9E4">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2.项目编号：          </w:t>
      </w:r>
      <w:r>
        <w:rPr>
          <w:rFonts w:hint="eastAsia" w:cs="Helvetica"/>
          <w:bCs/>
          <w:i/>
          <w:iCs/>
          <w:color w:val="000000" w:themeColor="text1"/>
          <w:szCs w:val="24"/>
          <w14:textFill>
            <w14:solidFill>
              <w14:schemeClr w14:val="tx1"/>
            </w14:solidFill>
          </w14:textFill>
        </w:rPr>
        <w:t>(见招标文件)</w:t>
      </w:r>
      <w:r>
        <w:rPr>
          <w:rFonts w:hint="eastAsia"/>
          <w:color w:val="000000" w:themeColor="text1"/>
          <w14:textFill>
            <w14:solidFill>
              <w14:schemeClr w14:val="tx1"/>
            </w14:solidFill>
          </w14:textFill>
        </w:rPr>
        <w:t xml:space="preserve">             </w:t>
      </w:r>
    </w:p>
    <w:p w14:paraId="28811918">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3.政府采购计划备案号：  </w:t>
      </w:r>
      <w:r>
        <w:rPr>
          <w:rFonts w:hint="eastAsia" w:cs="Helvetica"/>
          <w:bCs/>
          <w:i/>
          <w:iCs/>
          <w:color w:val="000000" w:themeColor="text1"/>
          <w:szCs w:val="24"/>
          <w14:textFill>
            <w14:solidFill>
              <w14:schemeClr w14:val="tx1"/>
            </w14:solidFill>
          </w14:textFill>
        </w:rPr>
        <w:t>(见招标文件)</w:t>
      </w:r>
      <w:r>
        <w:rPr>
          <w:rFonts w:hint="eastAsia"/>
          <w:color w:val="000000" w:themeColor="text1"/>
          <w14:textFill>
            <w14:solidFill>
              <w14:schemeClr w14:val="tx1"/>
            </w14:solidFill>
          </w14:textFill>
        </w:rPr>
        <w:t xml:space="preserve">            </w:t>
      </w:r>
    </w:p>
    <w:p w14:paraId="02A0AE94">
      <w:pPr>
        <w:rPr>
          <w:rFonts w:hint="eastAsia" w:cs="Helvetica"/>
          <w:color w:val="000000" w:themeColor="text1"/>
          <w:szCs w:val="24"/>
          <w:lang w:val="zh-CN"/>
          <w14:textFill>
            <w14:solidFill>
              <w14:schemeClr w14:val="tx1"/>
            </w14:solidFill>
          </w14:textFill>
        </w:rPr>
      </w:pPr>
      <w:r>
        <w:rPr>
          <w:rFonts w:hint="eastAsia"/>
          <w:color w:val="000000" w:themeColor="text1"/>
          <w14:textFill>
            <w14:solidFill>
              <w14:schemeClr w14:val="tx1"/>
            </w14:solidFill>
          </w14:textFill>
        </w:rPr>
        <w:t>4.项目概况：</w:t>
      </w:r>
      <w:r>
        <w:rPr>
          <w:rFonts w:hint="eastAsia" w:cs="Helvetica"/>
          <w:color w:val="000000" w:themeColor="text1"/>
          <w:szCs w:val="24"/>
          <w:lang w:val="zh-CN"/>
          <w14:textFill>
            <w14:solidFill>
              <w14:schemeClr w14:val="tx1"/>
            </w14:solidFill>
          </w14:textFill>
        </w:rPr>
        <w:t xml:space="preserve">              </w:t>
      </w:r>
      <w:r>
        <w:rPr>
          <w:rFonts w:hint="eastAsia" w:cs="Helvetica"/>
          <w:bCs/>
          <w:i/>
          <w:iCs/>
          <w:color w:val="000000" w:themeColor="text1"/>
          <w:szCs w:val="24"/>
          <w14:textFill>
            <w14:solidFill>
              <w14:schemeClr w14:val="tx1"/>
            </w14:solidFill>
          </w14:textFill>
        </w:rPr>
        <w:t>(见招标文件)</w:t>
      </w:r>
      <w:r>
        <w:rPr>
          <w:rFonts w:hint="eastAsia" w:cs="Helvetica"/>
          <w:color w:val="000000" w:themeColor="text1"/>
          <w:szCs w:val="24"/>
          <w:lang w:val="zh-CN"/>
          <w14:textFill>
            <w14:solidFill>
              <w14:schemeClr w14:val="tx1"/>
            </w14:solidFill>
          </w14:textFill>
        </w:rPr>
        <w:t xml:space="preserve">            </w:t>
      </w:r>
    </w:p>
    <w:p w14:paraId="77A49EA9">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标的名称、数量（规模） </w:t>
      </w:r>
    </w:p>
    <w:tbl>
      <w:tblPr>
        <w:tblStyle w:val="8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0"/>
        <w:gridCol w:w="2378"/>
        <w:gridCol w:w="1132"/>
        <w:gridCol w:w="655"/>
        <w:gridCol w:w="627"/>
        <w:gridCol w:w="859"/>
        <w:gridCol w:w="1425"/>
        <w:gridCol w:w="1134"/>
      </w:tblGrid>
      <w:tr w14:paraId="064A0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fill="D0CECE"/>
            <w:vAlign w:val="center"/>
          </w:tcPr>
          <w:p w14:paraId="024467FD">
            <w:pPr>
              <w:ind w:left="-120" w:leftChars="-50" w:right="-120" w:rightChars="-50"/>
              <w:jc w:val="center"/>
              <w:rPr>
                <w:rFonts w:hint="eastAsia" w:cs="宋体"/>
                <w:b/>
                <w:color w:val="000000" w:themeColor="text1"/>
                <w14:textFill>
                  <w14:solidFill>
                    <w14:schemeClr w14:val="tx1"/>
                  </w14:solidFill>
                </w14:textFill>
              </w:rPr>
            </w:pPr>
            <w:r>
              <w:rPr>
                <w:rFonts w:hint="eastAsia" w:cs="仿宋_GB2312"/>
                <w:b/>
                <w:color w:val="000000" w:themeColor="text1"/>
                <w:szCs w:val="24"/>
                <w14:textFill>
                  <w14:solidFill>
                    <w14:schemeClr w14:val="tx1"/>
                  </w14:solidFill>
                </w14:textFill>
              </w:rPr>
              <w:t>序号</w:t>
            </w:r>
          </w:p>
        </w:tc>
        <w:tc>
          <w:tcPr>
            <w:tcW w:w="2378" w:type="dxa"/>
            <w:shd w:val="pct10" w:color="AEAAAA" w:fill="D0CECE"/>
            <w:vAlign w:val="center"/>
          </w:tcPr>
          <w:p w14:paraId="7B5958A1">
            <w:pPr>
              <w:ind w:left="-55" w:leftChars="-23" w:right="-74" w:rightChars="-31"/>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名称</w:t>
            </w:r>
          </w:p>
        </w:tc>
        <w:tc>
          <w:tcPr>
            <w:tcW w:w="1132" w:type="dxa"/>
            <w:shd w:val="pct10" w:color="AEAAAA" w:fill="D0CECE"/>
            <w:vAlign w:val="center"/>
          </w:tcPr>
          <w:p w14:paraId="346439AC">
            <w:pPr>
              <w:ind w:left="-55" w:leftChars="-23" w:right="-74" w:rightChars="-31"/>
              <w:jc w:val="center"/>
              <w:rPr>
                <w:rFonts w:hint="eastAsia" w:cs="宋体"/>
                <w:b/>
                <w:color w:val="000000" w:themeColor="text1"/>
                <w14:textFill>
                  <w14:solidFill>
                    <w14:schemeClr w14:val="tx1"/>
                  </w14:solidFill>
                </w14:textFill>
              </w:rPr>
            </w:pPr>
            <w:r>
              <w:rPr>
                <w:rFonts w:hint="eastAsia"/>
                <w:b/>
                <w:color w:val="000000" w:themeColor="text1"/>
                <w14:textFill>
                  <w14:solidFill>
                    <w14:schemeClr w14:val="tx1"/>
                  </w14:solidFill>
                </w14:textFill>
              </w:rPr>
              <w:t>品牌规格型号</w:t>
            </w:r>
          </w:p>
        </w:tc>
        <w:tc>
          <w:tcPr>
            <w:tcW w:w="655" w:type="dxa"/>
            <w:tcBorders>
              <w:right w:val="single" w:color="auto" w:sz="4" w:space="0"/>
            </w:tcBorders>
            <w:shd w:val="pct10" w:color="AEAAAA" w:fill="D0CECE"/>
            <w:vAlign w:val="center"/>
          </w:tcPr>
          <w:p w14:paraId="6D1F3907">
            <w:pPr>
              <w:ind w:left="-55" w:leftChars="-23" w:right="-74" w:rightChars="-31"/>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数量</w:t>
            </w:r>
          </w:p>
        </w:tc>
        <w:tc>
          <w:tcPr>
            <w:tcW w:w="627" w:type="dxa"/>
            <w:tcBorders>
              <w:left w:val="single" w:color="auto" w:sz="4" w:space="0"/>
            </w:tcBorders>
            <w:shd w:val="pct10" w:color="AEAAAA" w:fill="D0CECE"/>
            <w:vAlign w:val="center"/>
          </w:tcPr>
          <w:p w14:paraId="7308009D">
            <w:pPr>
              <w:ind w:left="-55" w:leftChars="-23" w:right="-74" w:rightChars="-31"/>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单位</w:t>
            </w:r>
          </w:p>
        </w:tc>
        <w:tc>
          <w:tcPr>
            <w:tcW w:w="859" w:type="dxa"/>
            <w:shd w:val="pct10" w:color="AEAAAA" w:fill="D0CECE"/>
            <w:vAlign w:val="center"/>
          </w:tcPr>
          <w:p w14:paraId="64898F7D">
            <w:pPr>
              <w:ind w:left="-55" w:leftChars="-23" w:right="-74" w:rightChars="-31"/>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单价（元</w:t>
            </w:r>
            <w:r>
              <w:rPr>
                <w:rFonts w:cs="宋体"/>
                <w:b/>
                <w:color w:val="000000" w:themeColor="text1"/>
                <w14:textFill>
                  <w14:solidFill>
                    <w14:schemeClr w14:val="tx1"/>
                  </w14:solidFill>
                </w14:textFill>
              </w:rPr>
              <w:t>）</w:t>
            </w:r>
          </w:p>
        </w:tc>
        <w:tc>
          <w:tcPr>
            <w:tcW w:w="1425" w:type="dxa"/>
            <w:shd w:val="pct10" w:color="AEAAAA" w:fill="D0CECE"/>
            <w:vAlign w:val="center"/>
          </w:tcPr>
          <w:p w14:paraId="3E95216D">
            <w:pPr>
              <w:ind w:left="-120" w:leftChars="-50" w:right="-120" w:rightChars="-50"/>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分项合计（</w:t>
            </w:r>
            <w:r>
              <w:rPr>
                <w:rFonts w:cs="宋体"/>
                <w:b/>
                <w:color w:val="000000" w:themeColor="text1"/>
                <w14:textFill>
                  <w14:solidFill>
                    <w14:schemeClr w14:val="tx1"/>
                  </w14:solidFill>
                </w14:textFill>
              </w:rPr>
              <w:t>元）</w:t>
            </w:r>
          </w:p>
        </w:tc>
        <w:tc>
          <w:tcPr>
            <w:tcW w:w="1134" w:type="dxa"/>
            <w:shd w:val="pct10" w:color="AEAAAA" w:fill="D0CECE"/>
            <w:vAlign w:val="center"/>
          </w:tcPr>
          <w:p w14:paraId="45B0CA52">
            <w:pPr>
              <w:ind w:left="-26" w:leftChars="-11" w:right="-74" w:rightChars="-31"/>
              <w:jc w:val="center"/>
              <w:rPr>
                <w:rFonts w:hint="eastAsia"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制造厂家（全称）</w:t>
            </w:r>
          </w:p>
        </w:tc>
      </w:tr>
      <w:tr w14:paraId="521E1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25E32C2E">
            <w:pPr>
              <w:ind w:left="-55" w:leftChars="-23" w:right="-74" w:rightChars="-31"/>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2378" w:type="dxa"/>
            <w:vAlign w:val="center"/>
          </w:tcPr>
          <w:p w14:paraId="0A4F8DC1">
            <w:pPr>
              <w:ind w:left="-55" w:leftChars="-23" w:right="-74" w:rightChars="-31"/>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货物（服务）名称1</w:t>
            </w:r>
          </w:p>
        </w:tc>
        <w:tc>
          <w:tcPr>
            <w:tcW w:w="1132" w:type="dxa"/>
            <w:vAlign w:val="center"/>
          </w:tcPr>
          <w:p w14:paraId="6044EDB8">
            <w:pPr>
              <w:ind w:left="-55" w:leftChars="-23" w:right="-74" w:rightChars="-31"/>
              <w:rPr>
                <w:rFonts w:hint="eastAsia" w:cs="宋体"/>
                <w:color w:val="000000" w:themeColor="text1"/>
                <w:szCs w:val="24"/>
                <w14:textFill>
                  <w14:solidFill>
                    <w14:schemeClr w14:val="tx1"/>
                  </w14:solidFill>
                </w14:textFill>
              </w:rPr>
            </w:pPr>
          </w:p>
        </w:tc>
        <w:tc>
          <w:tcPr>
            <w:tcW w:w="655" w:type="dxa"/>
            <w:tcBorders>
              <w:right w:val="single" w:color="auto" w:sz="4" w:space="0"/>
            </w:tcBorders>
            <w:vAlign w:val="center"/>
          </w:tcPr>
          <w:p w14:paraId="69721CC1">
            <w:pPr>
              <w:ind w:left="-55" w:leftChars="-23" w:right="-430" w:rightChars="-179"/>
              <w:jc w:val="center"/>
              <w:rPr>
                <w:rFonts w:hint="eastAsia" w:cs="宋体"/>
                <w:color w:val="000000" w:themeColor="text1"/>
                <w:szCs w:val="24"/>
                <w14:textFill>
                  <w14:solidFill>
                    <w14:schemeClr w14:val="tx1"/>
                  </w14:solidFill>
                </w14:textFill>
              </w:rPr>
            </w:pPr>
          </w:p>
        </w:tc>
        <w:tc>
          <w:tcPr>
            <w:tcW w:w="627" w:type="dxa"/>
            <w:tcBorders>
              <w:left w:val="single" w:color="auto" w:sz="4" w:space="0"/>
            </w:tcBorders>
            <w:vAlign w:val="center"/>
          </w:tcPr>
          <w:p w14:paraId="33634F7A">
            <w:pPr>
              <w:ind w:left="-55" w:leftChars="-23" w:right="-430" w:rightChars="-179"/>
              <w:jc w:val="center"/>
              <w:rPr>
                <w:rFonts w:hint="eastAsia" w:cs="宋体"/>
                <w:color w:val="000000" w:themeColor="text1"/>
                <w:szCs w:val="24"/>
                <w14:textFill>
                  <w14:solidFill>
                    <w14:schemeClr w14:val="tx1"/>
                  </w14:solidFill>
                </w14:textFill>
              </w:rPr>
            </w:pPr>
          </w:p>
        </w:tc>
        <w:tc>
          <w:tcPr>
            <w:tcW w:w="859" w:type="dxa"/>
            <w:vAlign w:val="center"/>
          </w:tcPr>
          <w:p w14:paraId="4175CAE6">
            <w:pPr>
              <w:ind w:left="-55" w:leftChars="-23" w:right="-74" w:rightChars="-31"/>
              <w:jc w:val="center"/>
              <w:rPr>
                <w:rFonts w:hint="eastAsia" w:cs="宋体"/>
                <w:color w:val="000000" w:themeColor="text1"/>
                <w:szCs w:val="24"/>
                <w14:textFill>
                  <w14:solidFill>
                    <w14:schemeClr w14:val="tx1"/>
                  </w14:solidFill>
                </w14:textFill>
              </w:rPr>
            </w:pPr>
          </w:p>
        </w:tc>
        <w:tc>
          <w:tcPr>
            <w:tcW w:w="1425" w:type="dxa"/>
            <w:vAlign w:val="center"/>
          </w:tcPr>
          <w:p w14:paraId="6C53FF65">
            <w:pPr>
              <w:ind w:left="-55" w:leftChars="-23" w:right="-74" w:rightChars="-31"/>
              <w:rPr>
                <w:rFonts w:hint="eastAsia" w:cs="宋体"/>
                <w:color w:val="000000" w:themeColor="text1"/>
                <w:szCs w:val="24"/>
                <w14:textFill>
                  <w14:solidFill>
                    <w14:schemeClr w14:val="tx1"/>
                  </w14:solidFill>
                </w14:textFill>
              </w:rPr>
            </w:pPr>
          </w:p>
        </w:tc>
        <w:tc>
          <w:tcPr>
            <w:tcW w:w="1134" w:type="dxa"/>
            <w:vAlign w:val="center"/>
          </w:tcPr>
          <w:p w14:paraId="67B9AAF4">
            <w:pPr>
              <w:ind w:left="-55" w:leftChars="-23" w:right="-74" w:rightChars="-31"/>
              <w:jc w:val="center"/>
              <w:rPr>
                <w:rFonts w:hint="eastAsia" w:cs="宋体"/>
                <w:color w:val="000000" w:themeColor="text1"/>
                <w:szCs w:val="24"/>
                <w14:textFill>
                  <w14:solidFill>
                    <w14:schemeClr w14:val="tx1"/>
                  </w14:solidFill>
                </w14:textFill>
              </w:rPr>
            </w:pPr>
          </w:p>
        </w:tc>
      </w:tr>
      <w:tr w14:paraId="4FFCA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vAlign w:val="center"/>
          </w:tcPr>
          <w:p w14:paraId="064AD687">
            <w:pPr>
              <w:ind w:left="-55" w:leftChars="-23" w:right="-74" w:rightChars="-31"/>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2</w:t>
            </w:r>
          </w:p>
        </w:tc>
        <w:tc>
          <w:tcPr>
            <w:tcW w:w="2378" w:type="dxa"/>
            <w:vAlign w:val="center"/>
          </w:tcPr>
          <w:p w14:paraId="0315E18B">
            <w:pPr>
              <w:ind w:left="-55" w:leftChars="-23" w:right="-74" w:rightChars="-31"/>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货物（服务）名称2</w:t>
            </w:r>
          </w:p>
        </w:tc>
        <w:tc>
          <w:tcPr>
            <w:tcW w:w="1132" w:type="dxa"/>
            <w:vAlign w:val="center"/>
          </w:tcPr>
          <w:p w14:paraId="538565B0">
            <w:pPr>
              <w:ind w:left="-55" w:leftChars="-23" w:right="-74" w:rightChars="-31"/>
              <w:rPr>
                <w:rFonts w:hint="eastAsia" w:cs="宋体"/>
                <w:color w:val="000000" w:themeColor="text1"/>
                <w:szCs w:val="24"/>
                <w14:textFill>
                  <w14:solidFill>
                    <w14:schemeClr w14:val="tx1"/>
                  </w14:solidFill>
                </w14:textFill>
              </w:rPr>
            </w:pPr>
          </w:p>
        </w:tc>
        <w:tc>
          <w:tcPr>
            <w:tcW w:w="655" w:type="dxa"/>
            <w:tcBorders>
              <w:right w:val="single" w:color="auto" w:sz="4" w:space="0"/>
            </w:tcBorders>
            <w:vAlign w:val="center"/>
          </w:tcPr>
          <w:p w14:paraId="7BB2588A">
            <w:pPr>
              <w:ind w:left="-55" w:leftChars="-23" w:right="-74" w:rightChars="-31"/>
              <w:jc w:val="center"/>
              <w:rPr>
                <w:rFonts w:hint="eastAsia" w:cs="宋体"/>
                <w:color w:val="000000" w:themeColor="text1"/>
                <w:szCs w:val="24"/>
                <w14:textFill>
                  <w14:solidFill>
                    <w14:schemeClr w14:val="tx1"/>
                  </w14:solidFill>
                </w14:textFill>
              </w:rPr>
            </w:pPr>
          </w:p>
        </w:tc>
        <w:tc>
          <w:tcPr>
            <w:tcW w:w="627" w:type="dxa"/>
            <w:tcBorders>
              <w:left w:val="single" w:color="auto" w:sz="4" w:space="0"/>
            </w:tcBorders>
            <w:vAlign w:val="center"/>
          </w:tcPr>
          <w:p w14:paraId="4EA45190">
            <w:pPr>
              <w:ind w:left="-55" w:leftChars="-23" w:right="-74" w:rightChars="-31"/>
              <w:jc w:val="center"/>
              <w:rPr>
                <w:rFonts w:hint="eastAsia" w:cs="宋体"/>
                <w:color w:val="000000" w:themeColor="text1"/>
                <w:szCs w:val="24"/>
                <w14:textFill>
                  <w14:solidFill>
                    <w14:schemeClr w14:val="tx1"/>
                  </w14:solidFill>
                </w14:textFill>
              </w:rPr>
            </w:pPr>
          </w:p>
        </w:tc>
        <w:tc>
          <w:tcPr>
            <w:tcW w:w="859" w:type="dxa"/>
            <w:vAlign w:val="center"/>
          </w:tcPr>
          <w:p w14:paraId="5C3197DB">
            <w:pPr>
              <w:ind w:left="-55" w:leftChars="-23" w:right="-74" w:rightChars="-31"/>
              <w:jc w:val="center"/>
              <w:rPr>
                <w:rFonts w:hint="eastAsia" w:cs="宋体"/>
                <w:color w:val="000000" w:themeColor="text1"/>
                <w:szCs w:val="24"/>
                <w14:textFill>
                  <w14:solidFill>
                    <w14:schemeClr w14:val="tx1"/>
                  </w14:solidFill>
                </w14:textFill>
              </w:rPr>
            </w:pPr>
          </w:p>
        </w:tc>
        <w:tc>
          <w:tcPr>
            <w:tcW w:w="1425" w:type="dxa"/>
            <w:vAlign w:val="center"/>
          </w:tcPr>
          <w:p w14:paraId="25D0B08D">
            <w:pPr>
              <w:ind w:left="-55" w:leftChars="-23" w:right="-74" w:rightChars="-31"/>
              <w:rPr>
                <w:rFonts w:hint="eastAsia" w:cs="宋体"/>
                <w:color w:val="000000" w:themeColor="text1"/>
                <w:szCs w:val="24"/>
                <w14:textFill>
                  <w14:solidFill>
                    <w14:schemeClr w14:val="tx1"/>
                  </w14:solidFill>
                </w14:textFill>
              </w:rPr>
            </w:pPr>
          </w:p>
        </w:tc>
        <w:tc>
          <w:tcPr>
            <w:tcW w:w="1134" w:type="dxa"/>
            <w:vAlign w:val="center"/>
          </w:tcPr>
          <w:p w14:paraId="58DB8FEA">
            <w:pPr>
              <w:ind w:left="-55" w:leftChars="-23" w:right="-74" w:rightChars="-31"/>
              <w:jc w:val="center"/>
              <w:rPr>
                <w:rFonts w:hint="eastAsia" w:cs="宋体"/>
                <w:color w:val="000000" w:themeColor="text1"/>
                <w:szCs w:val="24"/>
                <w14:textFill>
                  <w14:solidFill>
                    <w14:schemeClr w14:val="tx1"/>
                  </w14:solidFill>
                </w14:textFill>
              </w:rPr>
            </w:pPr>
          </w:p>
        </w:tc>
      </w:tr>
      <w:tr w14:paraId="1883F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vAlign w:val="center"/>
          </w:tcPr>
          <w:p w14:paraId="6CC643A2">
            <w:pPr>
              <w:ind w:left="-55" w:leftChars="-23" w:right="-74" w:rightChars="-31"/>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378" w:type="dxa"/>
            <w:vAlign w:val="center"/>
          </w:tcPr>
          <w:p w14:paraId="1284A75D">
            <w:pPr>
              <w:ind w:left="-55" w:leftChars="-23" w:right="-74" w:rightChars="-31"/>
              <w:jc w:val="center"/>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1132" w:type="dxa"/>
            <w:vAlign w:val="center"/>
          </w:tcPr>
          <w:p w14:paraId="54005E8C">
            <w:pPr>
              <w:ind w:left="-55" w:leftChars="-23" w:right="-74" w:rightChars="-31"/>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655" w:type="dxa"/>
            <w:tcBorders>
              <w:right w:val="single" w:color="auto" w:sz="4" w:space="0"/>
            </w:tcBorders>
            <w:vAlign w:val="center"/>
          </w:tcPr>
          <w:p w14:paraId="5A88EC37">
            <w:pPr>
              <w:ind w:left="-55" w:leftChars="-23" w:right="-74" w:rightChars="-31"/>
              <w:jc w:val="center"/>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627" w:type="dxa"/>
            <w:tcBorders>
              <w:left w:val="single" w:color="auto" w:sz="4" w:space="0"/>
            </w:tcBorders>
            <w:vAlign w:val="center"/>
          </w:tcPr>
          <w:p w14:paraId="0C7262AB">
            <w:pPr>
              <w:ind w:left="-55" w:leftChars="-23" w:right="-74" w:rightChars="-31"/>
              <w:jc w:val="center"/>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859" w:type="dxa"/>
            <w:vAlign w:val="center"/>
          </w:tcPr>
          <w:p w14:paraId="6DB3D8AC">
            <w:pPr>
              <w:ind w:left="-55" w:leftChars="-23" w:right="-74" w:rightChars="-31"/>
              <w:jc w:val="center"/>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1425" w:type="dxa"/>
            <w:vAlign w:val="center"/>
          </w:tcPr>
          <w:p w14:paraId="5FA34616">
            <w:pPr>
              <w:ind w:left="-55" w:leftChars="-23" w:right="-74" w:rightChars="-31"/>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c>
          <w:tcPr>
            <w:tcW w:w="1134" w:type="dxa"/>
            <w:vAlign w:val="center"/>
          </w:tcPr>
          <w:p w14:paraId="31D3A17F">
            <w:pPr>
              <w:ind w:left="-55" w:leftChars="-23" w:right="-74" w:rightChars="-31"/>
              <w:jc w:val="center"/>
              <w:rPr>
                <w:rFonts w:hint="eastAsia" w:cs="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w:t>
            </w:r>
          </w:p>
        </w:tc>
      </w:tr>
      <w:tr w14:paraId="1F0A4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vAlign w:val="center"/>
          </w:tcPr>
          <w:p w14:paraId="4CCFBABE">
            <w:pPr>
              <w:ind w:left="-55" w:leftChars="-23" w:right="-74" w:rightChars="-31"/>
              <w:jc w:val="center"/>
              <w:rPr>
                <w:rFonts w:hint="eastAsia" w:cs="宋体"/>
                <w:b/>
                <w:color w:val="000000" w:themeColor="text1"/>
                <w:szCs w:val="24"/>
                <w14:textFill>
                  <w14:solidFill>
                    <w14:schemeClr w14:val="tx1"/>
                  </w14:solidFill>
                </w14:textFill>
              </w:rPr>
            </w:pPr>
            <w:r>
              <w:rPr>
                <w:rFonts w:hint="eastAsia" w:cs="宋体"/>
                <w:b/>
                <w:color w:val="000000" w:themeColor="text1"/>
                <w:szCs w:val="24"/>
                <w14:textFill>
                  <w14:solidFill>
                    <w14:schemeClr w14:val="tx1"/>
                  </w14:solidFill>
                </w14:textFill>
              </w:rPr>
              <w:t>合计</w:t>
            </w:r>
          </w:p>
        </w:tc>
        <w:tc>
          <w:tcPr>
            <w:tcW w:w="2559" w:type="dxa"/>
            <w:gridSpan w:val="2"/>
            <w:vAlign w:val="center"/>
          </w:tcPr>
          <w:p w14:paraId="2ED37EE0">
            <w:pPr>
              <w:ind w:left="-55" w:leftChars="-23" w:right="-74" w:rightChars="-31"/>
              <w:rPr>
                <w:rFonts w:hint="eastAsia" w:cs="宋体"/>
                <w:color w:val="000000" w:themeColor="text1"/>
                <w:szCs w:val="24"/>
                <w14:textFill>
                  <w14:solidFill>
                    <w14:schemeClr w14:val="tx1"/>
                  </w14:solidFill>
                </w14:textFill>
              </w:rPr>
            </w:pPr>
          </w:p>
        </w:tc>
      </w:tr>
    </w:tbl>
    <w:p w14:paraId="2388D54E">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货物（服务）质量</w:t>
      </w:r>
    </w:p>
    <w:p w14:paraId="02DECFDF">
      <w:pPr>
        <w:tabs>
          <w:tab w:val="left" w:pos="980"/>
        </w:tabs>
        <w:autoSpaceDE w:val="0"/>
        <w:autoSpaceDN w:val="0"/>
        <w:spacing w:before="60" w:beforeLines="25"/>
        <w:ind w:left="547" w:leftChars="228" w:firstLine="480" w:firstLineChars="200"/>
        <w:contextualSpacing/>
        <w:rPr>
          <w:rFonts w:hint="eastAsia" w:cs="Helvetica"/>
          <w:bCs/>
          <w:iCs/>
          <w:color w:val="000000" w:themeColor="text1"/>
          <w:szCs w:val="24"/>
          <w:lang w:val="zh-CN"/>
          <w14:textFill>
            <w14:solidFill>
              <w14:schemeClr w14:val="tx1"/>
            </w14:solidFill>
          </w14:textFill>
        </w:rPr>
      </w:pPr>
      <w:r>
        <w:rPr>
          <w:rFonts w:hint="eastAsia" w:cs="Helvetica"/>
          <w:i/>
          <w:iCs/>
          <w:color w:val="000000" w:themeColor="text1"/>
          <w:szCs w:val="24"/>
          <w14:textFill>
            <w14:solidFill>
              <w14:schemeClr w14:val="tx1"/>
            </w14:solidFill>
          </w14:textFill>
        </w:rPr>
        <w:t xml:space="preserve"> </w:t>
      </w:r>
      <w:r>
        <w:rPr>
          <w:rFonts w:hint="eastAsia" w:cs="Helvetica"/>
          <w:iCs/>
          <w:color w:val="000000" w:themeColor="text1"/>
          <w:szCs w:val="24"/>
          <w:u w:val="single"/>
          <w14:textFill>
            <w14:solidFill>
              <w14:schemeClr w14:val="tx1"/>
            </w14:solidFill>
          </w14:textFill>
        </w:rPr>
        <w:t xml:space="preserve">          </w:t>
      </w:r>
      <w:r>
        <w:rPr>
          <w:rFonts w:hint="eastAsia" w:cs="Helvetica"/>
          <w:i/>
          <w:iCs/>
          <w:color w:val="000000" w:themeColor="text1"/>
          <w:szCs w:val="24"/>
          <w:u w:val="single"/>
          <w14:textFill>
            <w14:solidFill>
              <w14:schemeClr w14:val="tx1"/>
            </w14:solidFill>
          </w14:textFill>
        </w:rPr>
        <w:t>(以招标文件要求以及投标文件的响应)</w:t>
      </w:r>
      <w:r>
        <w:rPr>
          <w:rFonts w:hint="eastAsia" w:cs="Helvetica"/>
          <w:iCs/>
          <w:color w:val="000000" w:themeColor="text1"/>
          <w:szCs w:val="24"/>
          <w:u w:val="single"/>
          <w14:textFill>
            <w14:solidFill>
              <w14:schemeClr w14:val="tx1"/>
            </w14:solidFill>
          </w14:textFill>
        </w:rPr>
        <w:t xml:space="preserve">                    </w:t>
      </w:r>
      <w:r>
        <w:rPr>
          <w:rFonts w:hint="eastAsia" w:cs="Helvetica"/>
          <w:iCs/>
          <w:color w:val="000000" w:themeColor="text1"/>
          <w:szCs w:val="24"/>
          <w14:textFill>
            <w14:solidFill>
              <w14:schemeClr w14:val="tx1"/>
            </w14:solidFill>
          </w14:textFill>
        </w:rPr>
        <w:t xml:space="preserve">。  </w:t>
      </w:r>
    </w:p>
    <w:p w14:paraId="2763FCE4">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合同履行时间（期限）、地点和方式</w:t>
      </w:r>
    </w:p>
    <w:p w14:paraId="592A2E47">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1.合同履行时间：</w:t>
      </w:r>
      <w:r>
        <w:rPr>
          <w:rFonts w:hint="eastAsia"/>
          <w:color w:val="000000" w:themeColor="text1"/>
          <w:lang w:val="zh-CN"/>
          <w14:textFill>
            <w14:solidFill>
              <w14:schemeClr w14:val="tx1"/>
            </w14:solidFill>
          </w14:textFill>
        </w:rPr>
        <w:t>自</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日至</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日止。</w:t>
      </w:r>
    </w:p>
    <w:p w14:paraId="2C831EC5">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2.交付或服务地点及方式：</w:t>
      </w:r>
      <w:r>
        <w:rPr>
          <w:rFonts w:hint="eastAsia" w:cs="宋体"/>
          <w:color w:val="000000" w:themeColor="text1"/>
          <w:szCs w:val="24"/>
          <w:u w:val="single"/>
          <w14:textFill>
            <w14:solidFill>
              <w14:schemeClr w14:val="tx1"/>
            </w14:solidFill>
          </w14:textFill>
        </w:rPr>
        <w:t xml:space="preserve">      </w:t>
      </w:r>
      <w:r>
        <w:rPr>
          <w:rFonts w:hint="eastAsia" w:cs="宋体"/>
          <w:i/>
          <w:color w:val="000000" w:themeColor="text1"/>
          <w:szCs w:val="24"/>
          <w:u w:val="single"/>
          <w14:textFill>
            <w14:solidFill>
              <w14:schemeClr w14:val="tx1"/>
            </w14:solidFill>
          </w14:textFill>
        </w:rPr>
        <w:t xml:space="preserve"> (见招标文件)</w:t>
      </w:r>
      <w:r>
        <w:rPr>
          <w:rFonts w:hint="eastAsia" w:cs="宋体"/>
          <w:color w:val="000000" w:themeColor="text1"/>
          <w:szCs w:val="24"/>
          <w:u w:val="single"/>
          <w14:textFill>
            <w14:solidFill>
              <w14:schemeClr w14:val="tx1"/>
            </w14:solidFill>
          </w14:textFill>
        </w:rPr>
        <w:t xml:space="preserve">                     </w:t>
      </w:r>
      <w:r>
        <w:rPr>
          <w:rFonts w:hint="eastAsia"/>
          <w:i/>
          <w:color w:val="000000" w:themeColor="text1"/>
          <w14:textFill>
            <w14:solidFill>
              <w14:schemeClr w14:val="tx1"/>
            </w14:solidFill>
          </w14:textFill>
        </w:rPr>
        <w:t>。</w:t>
      </w:r>
    </w:p>
    <w:p w14:paraId="15D61474">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包装及运输</w:t>
      </w:r>
    </w:p>
    <w:p w14:paraId="64DF823E">
      <w:pPr>
        <w:tabs>
          <w:tab w:val="left" w:pos="980"/>
        </w:tabs>
        <w:autoSpaceDE w:val="0"/>
        <w:autoSpaceDN w:val="0"/>
        <w:spacing w:before="60" w:beforeLines="25"/>
        <w:ind w:left="547" w:leftChars="228" w:firstLine="600" w:firstLineChars="250"/>
        <w:contextualSpacing/>
        <w:rPr>
          <w:rFonts w:hint="eastAsia" w:cs="宋体"/>
          <w:color w:val="000000" w:themeColor="text1"/>
          <w:szCs w:val="24"/>
          <w14:textFill>
            <w14:solidFill>
              <w14:schemeClr w14:val="tx1"/>
            </w14:solidFill>
          </w14:textFill>
        </w:rPr>
      </w:pPr>
      <w:r>
        <w:rPr>
          <w:rFonts w:hint="eastAsia" w:cs="宋体"/>
          <w:color w:val="000000" w:themeColor="text1"/>
          <w:szCs w:val="24"/>
          <w:u w:val="single"/>
          <w14:textFill>
            <w14:solidFill>
              <w14:schemeClr w14:val="tx1"/>
            </w14:solidFill>
          </w14:textFill>
        </w:rPr>
        <w:t xml:space="preserve">                               </w:t>
      </w:r>
      <w:r>
        <w:rPr>
          <w:rFonts w:hint="eastAsia" w:cs="宋体"/>
          <w:i/>
          <w:color w:val="000000" w:themeColor="text1"/>
          <w:szCs w:val="24"/>
          <w:u w:val="single"/>
          <w14:textFill>
            <w14:solidFill>
              <w14:schemeClr w14:val="tx1"/>
            </w14:solidFill>
          </w14:textFill>
        </w:rPr>
        <w:t>(见招标文件)</w:t>
      </w:r>
      <w:r>
        <w:rPr>
          <w:rFonts w:hint="eastAsia" w:cs="宋体"/>
          <w:color w:val="000000" w:themeColor="text1"/>
          <w:szCs w:val="24"/>
          <w:u w:val="single"/>
          <w14:textFill>
            <w14:solidFill>
              <w14:schemeClr w14:val="tx1"/>
            </w14:solidFill>
          </w14:textFill>
        </w:rPr>
        <w:t xml:space="preserve">                      </w:t>
      </w:r>
      <w:r>
        <w:rPr>
          <w:rFonts w:hint="eastAsia" w:cs="宋体"/>
          <w:color w:val="000000" w:themeColor="text1"/>
          <w:szCs w:val="24"/>
          <w14:textFill>
            <w14:solidFill>
              <w14:schemeClr w14:val="tx1"/>
            </w14:solidFill>
          </w14:textFill>
        </w:rPr>
        <w:t>。</w:t>
      </w:r>
    </w:p>
    <w:p w14:paraId="2B17A5B6">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合同价款  </w:t>
      </w:r>
    </w:p>
    <w:p w14:paraId="38D341E5">
      <w:pPr>
        <w:tabs>
          <w:tab w:val="left" w:pos="980"/>
        </w:tabs>
        <w:autoSpaceDE w:val="0"/>
        <w:autoSpaceDN w:val="0"/>
        <w:spacing w:before="60" w:beforeLines="25"/>
        <w:ind w:left="547" w:leftChars="228" w:firstLine="480" w:firstLineChars="200"/>
        <w:contextualSpacing/>
        <w:rPr>
          <w:rFonts w:hint="eastAsia" w:cs="Helvetica"/>
          <w:color w:val="000000" w:themeColor="text1"/>
          <w:szCs w:val="24"/>
          <w14:textFill>
            <w14:solidFill>
              <w14:schemeClr w14:val="tx1"/>
            </w14:solidFill>
          </w14:textFill>
        </w:rPr>
      </w:pPr>
      <w:r>
        <w:rPr>
          <w:rFonts w:hint="eastAsia" w:cs="Helvetica"/>
          <w:color w:val="000000" w:themeColor="text1"/>
          <w:szCs w:val="24"/>
          <w:lang w:val="zh-CN"/>
          <w14:textFill>
            <w14:solidFill>
              <w14:schemeClr w14:val="tx1"/>
            </w14:solidFill>
          </w14:textFill>
        </w:rPr>
        <w:t>1.本合同金额为（大写）：人民币</w:t>
      </w:r>
      <w:r>
        <w:rPr>
          <w:rFonts w:hint="eastAsia" w:cs="Helvetica"/>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(见投标文件)</w:t>
      </w:r>
      <w:r>
        <w:rPr>
          <w:rFonts w:hint="eastAsia" w:cs="Helvetica"/>
          <w:color w:val="000000" w:themeColor="text1"/>
          <w:szCs w:val="24"/>
          <w:u w:val="single"/>
          <w14:textFill>
            <w14:solidFill>
              <w14:schemeClr w14:val="tx1"/>
            </w14:solidFill>
          </w14:textFill>
        </w:rPr>
        <w:t xml:space="preserve">   </w:t>
      </w:r>
      <w:r>
        <w:rPr>
          <w:rFonts w:hint="eastAsia" w:cs="Helvetica"/>
          <w:color w:val="000000" w:themeColor="text1"/>
          <w:szCs w:val="24"/>
          <w14:textFill>
            <w14:solidFill>
              <w14:schemeClr w14:val="tx1"/>
            </w14:solidFill>
          </w14:textFill>
        </w:rPr>
        <w:t>元（</w:t>
      </w:r>
      <w:r>
        <w:rPr>
          <w:rFonts w:cs="Arial"/>
          <w:color w:val="000000" w:themeColor="text1"/>
          <w:szCs w:val="24"/>
          <w14:textFill>
            <w14:solidFill>
              <w14:schemeClr w14:val="tx1"/>
            </w14:solidFill>
          </w14:textFill>
        </w:rPr>
        <w:t>¥</w:t>
      </w:r>
      <w:r>
        <w:rPr>
          <w:rFonts w:hint="eastAsia" w:cs="Helvetica"/>
          <w:color w:val="000000" w:themeColor="text1"/>
          <w:szCs w:val="24"/>
          <w14:textFill>
            <w14:solidFill>
              <w14:schemeClr w14:val="tx1"/>
            </w14:solidFill>
          </w14:textFill>
        </w:rPr>
        <w:t>：</w:t>
      </w:r>
      <w:r>
        <w:rPr>
          <w:rFonts w:hint="eastAsia" w:cs="Helvetica"/>
          <w:color w:val="000000" w:themeColor="text1"/>
          <w:szCs w:val="24"/>
          <w:u w:val="single"/>
          <w14:textFill>
            <w14:solidFill>
              <w14:schemeClr w14:val="tx1"/>
            </w14:solidFill>
          </w14:textFill>
        </w:rPr>
        <w:t xml:space="preserve">          </w:t>
      </w:r>
      <w:r>
        <w:rPr>
          <w:rFonts w:hint="eastAsia" w:cs="Helvetica"/>
          <w:color w:val="000000" w:themeColor="text1"/>
          <w:szCs w:val="24"/>
          <w14:textFill>
            <w14:solidFill>
              <w14:schemeClr w14:val="tx1"/>
            </w14:solidFill>
          </w14:textFill>
        </w:rPr>
        <w:t>）</w:t>
      </w:r>
    </w:p>
    <w:p w14:paraId="3A925D73">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Helvetica"/>
          <w:color w:val="000000" w:themeColor="text1"/>
          <w:szCs w:val="24"/>
          <w14:textFill>
            <w14:solidFill>
              <w14:schemeClr w14:val="tx1"/>
            </w14:solidFill>
          </w14:textFill>
        </w:rPr>
        <w:t>2.合同金额包括乙方</w:t>
      </w:r>
      <w:r>
        <w:rPr>
          <w:rFonts w:hint="eastAsia" w:cs="宋体"/>
          <w:color w:val="000000" w:themeColor="text1"/>
          <w:szCs w:val="24"/>
          <w14:textFill>
            <w14:solidFill>
              <w14:schemeClr w14:val="tx1"/>
            </w14:solidFill>
          </w14:textFill>
        </w:rPr>
        <w:t>完成本合同约定的全部工作可能发生的所有费用（含市场变化等可能发生的费用），即总报价为“交钥匙”价</w:t>
      </w:r>
      <w:r>
        <w:rPr>
          <w:rFonts w:hint="eastAsia" w:cs="宋体"/>
          <w:color w:val="000000" w:themeColor="text1"/>
          <w:szCs w:val="24"/>
          <w:lang w:val="zh-CN"/>
          <w14:textFill>
            <w14:solidFill>
              <w14:schemeClr w14:val="tx1"/>
            </w14:solidFill>
          </w14:textFill>
        </w:rPr>
        <w:t>。</w:t>
      </w:r>
      <w:r>
        <w:rPr>
          <w:rFonts w:hint="eastAsia" w:cs="宋体"/>
          <w:color w:val="000000" w:themeColor="text1"/>
          <w:szCs w:val="24"/>
          <w14:textFill>
            <w14:solidFill>
              <w14:schemeClr w14:val="tx1"/>
            </w14:solidFill>
          </w14:textFill>
        </w:rPr>
        <w:t>甲方在支付此金额后，不再因本合同支付任何其它费用。</w:t>
      </w:r>
    </w:p>
    <w:p w14:paraId="1C7CDBAD">
      <w:pPr>
        <w:tabs>
          <w:tab w:val="left" w:pos="980"/>
        </w:tabs>
        <w:autoSpaceDE w:val="0"/>
        <w:autoSpaceDN w:val="0"/>
        <w:spacing w:before="60" w:beforeLines="25"/>
        <w:ind w:left="547" w:leftChars="228" w:firstLine="480" w:firstLineChars="200"/>
        <w:contextualSpacing/>
        <w:rPr>
          <w:rFonts w:hint="eastAsia"/>
          <w:color w:val="000000" w:themeColor="text1"/>
          <w:u w:val="single"/>
          <w14:textFill>
            <w14:solidFill>
              <w14:schemeClr w14:val="tx1"/>
            </w14:solidFill>
          </w14:textFill>
        </w:rPr>
      </w:pPr>
      <w:r>
        <w:rPr>
          <w:rFonts w:hint="eastAsia" w:cs="Helvetica"/>
          <w:color w:val="000000" w:themeColor="text1"/>
          <w:szCs w:val="24"/>
          <w14:textFill>
            <w14:solidFill>
              <w14:schemeClr w14:val="tx1"/>
            </w14:solidFill>
          </w14:textFill>
        </w:rPr>
        <w:t>3.</w:t>
      </w:r>
      <w:r>
        <w:rPr>
          <w:rFonts w:hint="eastAsia" w:cs="宋体"/>
          <w:color w:val="000000" w:themeColor="text1"/>
          <w:szCs w:val="24"/>
          <w:u w:val="single"/>
          <w14:textFill>
            <w14:solidFill>
              <w14:schemeClr w14:val="tx1"/>
            </w14:solidFill>
          </w14:textFill>
        </w:rPr>
        <w:t xml:space="preserve">                                                             </w:t>
      </w:r>
      <w:r>
        <w:rPr>
          <w:rFonts w:hint="eastAsia" w:cs="宋体"/>
          <w:color w:val="000000" w:themeColor="text1"/>
          <w:szCs w:val="24"/>
          <w14:textFill>
            <w14:solidFill>
              <w14:schemeClr w14:val="tx1"/>
            </w14:solidFill>
          </w14:textFill>
        </w:rPr>
        <w:t xml:space="preserve"> 。</w:t>
      </w:r>
    </w:p>
    <w:p w14:paraId="115F13FC">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资金支付方式及安排</w:t>
      </w:r>
    </w:p>
    <w:p w14:paraId="1AF9D3AB">
      <w:pPr>
        <w:tabs>
          <w:tab w:val="left" w:pos="980"/>
        </w:tabs>
        <w:autoSpaceDE w:val="0"/>
        <w:autoSpaceDN w:val="0"/>
        <w:spacing w:before="60" w:beforeLines="25"/>
        <w:ind w:left="547" w:leftChars="228" w:firstLine="720" w:firstLineChars="300"/>
        <w:contextualSpacing/>
        <w:rPr>
          <w:rFonts w:hint="eastAsia" w:cs="Helvetica"/>
          <w:bCs/>
          <w:iCs/>
          <w:color w:val="000000" w:themeColor="text1"/>
          <w:szCs w:val="24"/>
          <w14:textFill>
            <w14:solidFill>
              <w14:schemeClr w14:val="tx1"/>
            </w14:solidFill>
          </w14:textFill>
        </w:rPr>
      </w:pPr>
      <w:r>
        <w:rPr>
          <w:rFonts w:hint="eastAsia" w:cs="Helvetica"/>
          <w:bCs/>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bCs/>
          <w:iCs/>
          <w:color w:val="000000" w:themeColor="text1"/>
          <w:szCs w:val="24"/>
          <w:u w:val="single"/>
          <w14:textFill>
            <w14:solidFill>
              <w14:schemeClr w14:val="tx1"/>
            </w14:solidFill>
          </w14:textFill>
        </w:rPr>
        <w:t xml:space="preserve">                                            </w:t>
      </w:r>
      <w:r>
        <w:rPr>
          <w:rFonts w:hint="eastAsia" w:cs="Helvetica"/>
          <w:bCs/>
          <w:iCs/>
          <w:color w:val="000000" w:themeColor="text1"/>
          <w:szCs w:val="24"/>
          <w14:textFill>
            <w14:solidFill>
              <w14:schemeClr w14:val="tx1"/>
            </w14:solidFill>
          </w14:textFill>
        </w:rPr>
        <w:t>。</w:t>
      </w:r>
    </w:p>
    <w:p w14:paraId="496B7BDB">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交付标准、方法和验收方案</w:t>
      </w:r>
    </w:p>
    <w:p w14:paraId="6571E01D">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1.</w:t>
      </w:r>
      <w:r>
        <w:rPr>
          <w:rFonts w:hint="eastAsia" w:cs="Helvetica"/>
          <w:bCs/>
          <w:color w:val="000000" w:themeColor="text1"/>
          <w:szCs w:val="24"/>
          <w:lang w:val="zh-CN"/>
          <w14:textFill>
            <w14:solidFill>
              <w14:schemeClr w14:val="tx1"/>
            </w14:solidFill>
          </w14:textFill>
        </w:rPr>
        <w:t>交付标准、方法：</w:t>
      </w:r>
      <w:r>
        <w:rPr>
          <w:rFonts w:hint="eastAsia" w:cs="Helvetica"/>
          <w:bCs/>
          <w:color w:val="000000" w:themeColor="text1"/>
          <w:szCs w:val="24"/>
          <w:u w:val="single"/>
          <w:lang w:val="zh-CN"/>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bCs/>
          <w:color w:val="000000" w:themeColor="text1"/>
          <w:szCs w:val="24"/>
          <w:u w:val="single"/>
          <w:lang w:val="zh-CN"/>
          <w14:textFill>
            <w14:solidFill>
              <w14:schemeClr w14:val="tx1"/>
            </w14:solidFill>
          </w14:textFill>
        </w:rPr>
        <w:t xml:space="preserve">                         </w:t>
      </w:r>
      <w:r>
        <w:rPr>
          <w:rFonts w:hint="eastAsia" w:cs="Helvetica"/>
          <w:bCs/>
          <w:color w:val="000000" w:themeColor="text1"/>
          <w:szCs w:val="24"/>
          <w:lang w:val="zh-CN"/>
          <w14:textFill>
            <w14:solidFill>
              <w14:schemeClr w14:val="tx1"/>
            </w14:solidFill>
          </w14:textFill>
        </w:rPr>
        <w:t>。</w:t>
      </w:r>
    </w:p>
    <w:p w14:paraId="1EBCBF59">
      <w:pPr>
        <w:tabs>
          <w:tab w:val="left" w:pos="980"/>
        </w:tabs>
        <w:autoSpaceDE w:val="0"/>
        <w:autoSpaceDN w:val="0"/>
        <w:spacing w:before="60" w:beforeLines="25"/>
        <w:ind w:left="547" w:leftChars="228" w:firstLine="480" w:firstLineChars="200"/>
        <w:contextualSpacing/>
        <w:rPr>
          <w:rFonts w:hint="eastAsia" w:cs="Helvetica"/>
          <w:bCs/>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w:t>
      </w:r>
      <w:r>
        <w:rPr>
          <w:rFonts w:hint="eastAsia" w:cs="Helvetica"/>
          <w:bCs/>
          <w:color w:val="000000" w:themeColor="text1"/>
          <w:szCs w:val="24"/>
          <w:lang w:val="zh-CN"/>
          <w14:textFill>
            <w14:solidFill>
              <w14:schemeClr w14:val="tx1"/>
            </w14:solidFill>
          </w14:textFill>
        </w:rPr>
        <w:t>验收方案：</w:t>
      </w:r>
      <w:r>
        <w:rPr>
          <w:rFonts w:hint="eastAsia" w:cs="Helvetica"/>
          <w:bCs/>
          <w:color w:val="000000" w:themeColor="text1"/>
          <w:szCs w:val="24"/>
          <w:u w:val="single"/>
          <w14:textFill>
            <w14:solidFill>
              <w14:schemeClr w14:val="tx1"/>
            </w14:solidFill>
          </w14:textFill>
        </w:rPr>
        <w:t xml:space="preserve"> </w:t>
      </w:r>
      <w:r>
        <w:rPr>
          <w:rFonts w:hint="eastAsia" w:cs="Helvetica"/>
          <w:bCs/>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bCs/>
          <w:iCs/>
          <w:color w:val="000000" w:themeColor="text1"/>
          <w:szCs w:val="24"/>
          <w:u w:val="single"/>
          <w14:textFill>
            <w14:solidFill>
              <w14:schemeClr w14:val="tx1"/>
            </w14:solidFill>
          </w14:textFill>
        </w:rPr>
        <w:t xml:space="preserve">                 </w:t>
      </w:r>
      <w:r>
        <w:rPr>
          <w:rFonts w:cs="Helvetica"/>
          <w:bCs/>
          <w:iCs/>
          <w:color w:val="000000" w:themeColor="text1"/>
          <w:szCs w:val="24"/>
          <w:u w:val="single"/>
          <w14:textFill>
            <w14:solidFill>
              <w14:schemeClr w14:val="tx1"/>
            </w14:solidFill>
          </w14:textFill>
        </w:rPr>
        <w:t xml:space="preserve"> </w:t>
      </w:r>
      <w:r>
        <w:rPr>
          <w:rFonts w:hint="eastAsia" w:cs="Helvetica"/>
          <w:bCs/>
          <w:iCs/>
          <w:color w:val="000000" w:themeColor="text1"/>
          <w:szCs w:val="24"/>
          <w:u w:val="single"/>
          <w14:textFill>
            <w14:solidFill>
              <w14:schemeClr w14:val="tx1"/>
            </w14:solidFill>
          </w14:textFill>
        </w:rPr>
        <w:t xml:space="preserve">         </w:t>
      </w:r>
      <w:r>
        <w:rPr>
          <w:rFonts w:hint="eastAsia" w:cs="Helvetica"/>
          <w:bCs/>
          <w:iCs/>
          <w:color w:val="000000" w:themeColor="text1"/>
          <w:szCs w:val="24"/>
          <w14:textFill>
            <w14:solidFill>
              <w14:schemeClr w14:val="tx1"/>
            </w14:solidFill>
          </w14:textFill>
        </w:rPr>
        <w:t>。</w:t>
      </w:r>
    </w:p>
    <w:p w14:paraId="28AB4A26">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质保（服务）期及质保（服务）范围和要求</w:t>
      </w:r>
    </w:p>
    <w:p w14:paraId="7B011C29">
      <w:pPr>
        <w:tabs>
          <w:tab w:val="left" w:pos="980"/>
        </w:tabs>
        <w:autoSpaceDE w:val="0"/>
        <w:autoSpaceDN w:val="0"/>
        <w:spacing w:before="60" w:beforeLines="25"/>
        <w:ind w:left="547" w:leftChars="228" w:firstLine="480" w:firstLineChars="200"/>
        <w:contextualSpacing/>
        <w:rPr>
          <w:rFonts w:hint="eastAsia" w:cs="Helvetica"/>
          <w:color w:val="000000" w:themeColor="text1"/>
          <w:szCs w:val="24"/>
          <w:u w:val="single"/>
          <w14:textFill>
            <w14:solidFill>
              <w14:schemeClr w14:val="tx1"/>
            </w14:solidFill>
          </w14:textFill>
        </w:rPr>
      </w:pPr>
      <w:r>
        <w:rPr>
          <w:rFonts w:hint="eastAsia" w:cs="宋体"/>
          <w:color w:val="000000" w:themeColor="text1"/>
          <w:szCs w:val="24"/>
          <w14:textFill>
            <w14:solidFill>
              <w14:schemeClr w14:val="tx1"/>
            </w14:solidFill>
          </w14:textFill>
        </w:rPr>
        <w:t>1.质保（服务)期：</w:t>
      </w:r>
      <w:r>
        <w:rPr>
          <w:rFonts w:hint="eastAsia" w:cs="Helvetica"/>
          <w:i/>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i/>
          <w:iCs/>
          <w:color w:val="000000" w:themeColor="text1"/>
          <w:szCs w:val="24"/>
          <w:u w:val="single"/>
          <w14:textFill>
            <w14:solidFill>
              <w14:schemeClr w14:val="tx1"/>
            </w14:solidFill>
          </w14:textFill>
        </w:rPr>
        <w:t xml:space="preserve">                </w:t>
      </w:r>
      <w:r>
        <w:rPr>
          <w:rFonts w:hint="eastAsia" w:cs="Helvetica"/>
          <w:i/>
          <w:color w:val="000000" w:themeColor="text1"/>
          <w:szCs w:val="24"/>
          <w:u w:val="single"/>
          <w14:textFill>
            <w14:solidFill>
              <w14:schemeClr w14:val="tx1"/>
            </w14:solidFill>
          </w14:textFill>
        </w:rPr>
        <w:t xml:space="preserve">   </w:t>
      </w:r>
      <w:r>
        <w:rPr>
          <w:rFonts w:hint="eastAsia" w:cs="Helvetica"/>
          <w:i/>
          <w:color w:val="000000" w:themeColor="text1"/>
          <w:szCs w:val="24"/>
          <w14:textFill>
            <w14:solidFill>
              <w14:schemeClr w14:val="tx1"/>
            </w14:solidFill>
          </w14:textFill>
        </w:rPr>
        <w:t>。</w:t>
      </w:r>
    </w:p>
    <w:p w14:paraId="1E578278">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2.质保（服务）范围：</w:t>
      </w:r>
      <w:r>
        <w:rPr>
          <w:rFonts w:hint="eastAsia" w:cs="Helvetica"/>
          <w:i/>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i/>
          <w:iCs/>
          <w:color w:val="000000" w:themeColor="text1"/>
          <w:szCs w:val="24"/>
          <w:u w:val="single"/>
          <w14:textFill>
            <w14:solidFill>
              <w14:schemeClr w14:val="tx1"/>
            </w14:solidFill>
          </w14:textFill>
        </w:rPr>
        <w:t xml:space="preserve">                  </w:t>
      </w:r>
      <w:r>
        <w:rPr>
          <w:rFonts w:hint="eastAsia" w:cs="Helvetica"/>
          <w:i/>
          <w:color w:val="000000" w:themeColor="text1"/>
          <w:szCs w:val="24"/>
          <w:lang w:val="zh-CN"/>
          <w14:textFill>
            <w14:solidFill>
              <w14:schemeClr w14:val="tx1"/>
            </w14:solidFill>
          </w14:textFill>
        </w:rPr>
        <w:t>。</w:t>
      </w:r>
    </w:p>
    <w:p w14:paraId="28BF0F94">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3.质保（服务）要求：</w:t>
      </w:r>
      <w:r>
        <w:rPr>
          <w:rFonts w:hint="eastAsia" w:cs="Helvetica"/>
          <w:i/>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Helvetica"/>
          <w:i/>
          <w:iCs/>
          <w:color w:val="000000" w:themeColor="text1"/>
          <w:szCs w:val="24"/>
          <w:u w:val="single"/>
          <w14:textFill>
            <w14:solidFill>
              <w14:schemeClr w14:val="tx1"/>
            </w14:solidFill>
          </w14:textFill>
        </w:rPr>
        <w:t xml:space="preserve">                  </w:t>
      </w:r>
      <w:r>
        <w:rPr>
          <w:rFonts w:hint="eastAsia" w:cs="Helvetica"/>
          <w:i/>
          <w:color w:val="000000" w:themeColor="text1"/>
          <w:szCs w:val="24"/>
          <w:lang w:val="zh-CN"/>
          <w14:textFill>
            <w14:solidFill>
              <w14:schemeClr w14:val="tx1"/>
            </w14:solidFill>
          </w14:textFill>
        </w:rPr>
        <w:t>。</w:t>
      </w:r>
    </w:p>
    <w:p w14:paraId="17ACB943">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项目培训</w:t>
      </w:r>
    </w:p>
    <w:p w14:paraId="625B7F6E">
      <w:pPr>
        <w:tabs>
          <w:tab w:val="left" w:pos="980"/>
        </w:tabs>
        <w:autoSpaceDE w:val="0"/>
        <w:autoSpaceDN w:val="0"/>
        <w:spacing w:before="60" w:beforeLines="25"/>
        <w:ind w:left="547" w:leftChars="228" w:firstLine="720" w:firstLineChars="300"/>
        <w:contextualSpacing/>
        <w:rPr>
          <w:rFonts w:hint="eastAsia" w:cs="Helvetica"/>
          <w:bCs/>
          <w:color w:val="000000" w:themeColor="text1"/>
          <w:szCs w:val="24"/>
          <w14:textFill>
            <w14:solidFill>
              <w14:schemeClr w14:val="tx1"/>
            </w14:solidFill>
          </w14:textFill>
        </w:rPr>
      </w:pPr>
      <w:r>
        <w:rPr>
          <w:rFonts w:hint="eastAsia" w:cs="Helvetica"/>
          <w:bCs/>
          <w:color w:val="000000" w:themeColor="text1"/>
          <w:szCs w:val="24"/>
          <w:u w:val="single"/>
          <w14:textFill>
            <w14:solidFill>
              <w14:schemeClr w14:val="tx1"/>
            </w14:solidFill>
          </w14:textFill>
        </w:rPr>
        <w:t xml:space="preserve">                </w:t>
      </w:r>
      <w:r>
        <w:rPr>
          <w:rFonts w:cs="Helvetica"/>
          <w:b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(见投标文件)</w:t>
      </w:r>
      <w:r>
        <w:rPr>
          <w:rFonts w:hint="eastAsia" w:cs="Helvetica"/>
          <w:bCs/>
          <w:color w:val="000000" w:themeColor="text1"/>
          <w:szCs w:val="24"/>
          <w:u w:val="single"/>
          <w14:textFill>
            <w14:solidFill>
              <w14:schemeClr w14:val="tx1"/>
            </w14:solidFill>
          </w14:textFill>
        </w:rPr>
        <w:t xml:space="preserve">                         </w:t>
      </w:r>
      <w:r>
        <w:rPr>
          <w:rFonts w:hint="eastAsia" w:cs="Helvetica"/>
          <w:bCs/>
          <w:color w:val="000000" w:themeColor="text1"/>
          <w:szCs w:val="24"/>
          <w14:textFill>
            <w14:solidFill>
              <w14:schemeClr w14:val="tx1"/>
            </w14:solidFill>
          </w14:textFill>
        </w:rPr>
        <w:t>。</w:t>
      </w:r>
    </w:p>
    <w:p w14:paraId="2627D2E8">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知识产权归属、处理方式</w:t>
      </w:r>
    </w:p>
    <w:p w14:paraId="05297FAB">
      <w:pPr>
        <w:tabs>
          <w:tab w:val="left" w:pos="980"/>
        </w:tabs>
        <w:autoSpaceDE w:val="0"/>
        <w:autoSpaceDN w:val="0"/>
        <w:spacing w:before="60" w:beforeLines="25"/>
        <w:ind w:left="547" w:leftChars="228" w:firstLine="720" w:firstLineChars="300"/>
        <w:contextualSpacing/>
        <w:rPr>
          <w:rFonts w:hint="eastAsia" w:cs="Helvetica"/>
          <w:bCs/>
          <w:i/>
          <w:iCs/>
          <w:color w:val="000000" w:themeColor="text1"/>
          <w:szCs w:val="24"/>
          <w14:textFill>
            <w14:solidFill>
              <w14:schemeClr w14:val="tx1"/>
            </w14:solidFill>
          </w14:textFill>
        </w:rPr>
      </w:pPr>
      <w:r>
        <w:rPr>
          <w:rFonts w:hint="eastAsia" w:cs="Helvetica"/>
          <w:bCs/>
          <w:i/>
          <w:iCs/>
          <w:color w:val="000000" w:themeColor="text1"/>
          <w:szCs w:val="24"/>
          <w:u w:val="single"/>
          <w14:textFill>
            <w14:solidFill>
              <w14:schemeClr w14:val="tx1"/>
            </w14:solidFill>
          </w14:textFill>
        </w:rPr>
        <w:t xml:space="preserve">                    (见招标文件)                          </w:t>
      </w:r>
      <w:r>
        <w:rPr>
          <w:rFonts w:hint="eastAsia" w:cs="Helvetica"/>
          <w:bCs/>
          <w:i/>
          <w:iCs/>
          <w:color w:val="000000" w:themeColor="text1"/>
          <w:szCs w:val="24"/>
          <w14:textFill>
            <w14:solidFill>
              <w14:schemeClr w14:val="tx1"/>
            </w14:solidFill>
          </w14:textFill>
        </w:rPr>
        <w:t>。</w:t>
      </w:r>
    </w:p>
    <w:p w14:paraId="35509470">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双方的权利和义务</w:t>
      </w:r>
    </w:p>
    <w:p w14:paraId="7F19BA49">
      <w:pPr>
        <w:tabs>
          <w:tab w:val="left" w:pos="980"/>
        </w:tabs>
        <w:autoSpaceDE w:val="0"/>
        <w:autoSpaceDN w:val="0"/>
        <w:spacing w:before="60" w:beforeLines="25"/>
        <w:ind w:left="547" w:leftChars="228" w:firstLine="480" w:firstLineChars="200"/>
        <w:contextualSpacing/>
        <w:rPr>
          <w:rFonts w:hint="eastAsia" w:cs="Helvetica"/>
          <w:bCs/>
          <w:color w:val="000000" w:themeColor="text1"/>
          <w:szCs w:val="24"/>
          <w:u w:val="single"/>
          <w14:textFill>
            <w14:solidFill>
              <w14:schemeClr w14:val="tx1"/>
            </w14:solidFill>
          </w14:textFill>
        </w:rPr>
      </w:pPr>
      <w:r>
        <w:rPr>
          <w:rFonts w:hint="eastAsia" w:cs="宋体"/>
          <w:color w:val="000000" w:themeColor="text1"/>
          <w:szCs w:val="24"/>
          <w14:textFill>
            <w14:solidFill>
              <w14:schemeClr w14:val="tx1"/>
            </w14:solidFill>
          </w14:textFill>
        </w:rPr>
        <w:t>1.</w:t>
      </w:r>
      <w:r>
        <w:rPr>
          <w:rFonts w:hint="eastAsia" w:cs="Helvetica"/>
          <w:bCs/>
          <w:color w:val="000000" w:themeColor="text1"/>
          <w:szCs w:val="24"/>
          <w14:textFill>
            <w14:solidFill>
              <w14:schemeClr w14:val="tx1"/>
            </w14:solidFill>
          </w14:textFill>
        </w:rPr>
        <w:t>甲方的</w:t>
      </w:r>
      <w:r>
        <w:rPr>
          <w:rFonts w:hint="eastAsia" w:cs="宋体"/>
          <w:color w:val="000000" w:themeColor="text1"/>
          <w:szCs w:val="24"/>
          <w14:textFill>
            <w14:solidFill>
              <w14:schemeClr w14:val="tx1"/>
            </w14:solidFill>
          </w14:textFill>
        </w:rPr>
        <w:t>权力</w:t>
      </w:r>
      <w:r>
        <w:rPr>
          <w:rFonts w:hint="eastAsia" w:cs="Helvetica"/>
          <w:bCs/>
          <w:color w:val="000000" w:themeColor="text1"/>
          <w:szCs w:val="24"/>
          <w14:textFill>
            <w14:solidFill>
              <w14:schemeClr w14:val="tx1"/>
            </w14:solidFill>
          </w14:textFill>
        </w:rPr>
        <w:t>和义务：</w:t>
      </w:r>
      <w:r>
        <w:rPr>
          <w:rFonts w:hint="eastAsia" w:cs="Helvetica"/>
          <w:bCs/>
          <w:i/>
          <w:iCs/>
          <w:color w:val="000000" w:themeColor="text1"/>
          <w:szCs w:val="24"/>
          <w:u w:val="single"/>
          <w14:textFill>
            <w14:solidFill>
              <w14:schemeClr w14:val="tx1"/>
            </w14:solidFill>
          </w14:textFill>
        </w:rPr>
        <w:t xml:space="preserve">                                       </w:t>
      </w:r>
      <w:r>
        <w:rPr>
          <w:rFonts w:hint="eastAsia" w:cs="Helvetica"/>
          <w:bCs/>
          <w:color w:val="000000" w:themeColor="text1"/>
          <w:szCs w:val="24"/>
          <w14:textFill>
            <w14:solidFill>
              <w14:schemeClr w14:val="tx1"/>
            </w14:solidFill>
          </w14:textFill>
        </w:rPr>
        <w:t>。</w:t>
      </w:r>
    </w:p>
    <w:p w14:paraId="6657F7BF">
      <w:pPr>
        <w:tabs>
          <w:tab w:val="left" w:pos="980"/>
        </w:tabs>
        <w:autoSpaceDE w:val="0"/>
        <w:autoSpaceDN w:val="0"/>
        <w:spacing w:before="60" w:beforeLines="25"/>
        <w:ind w:left="547" w:leftChars="228" w:firstLine="480" w:firstLineChars="200"/>
        <w:contextualSpacing/>
        <w:rPr>
          <w:rFonts w:hint="eastAsia" w:cs="Helvetica"/>
          <w:bCs/>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w:t>
      </w:r>
      <w:r>
        <w:rPr>
          <w:rFonts w:hint="eastAsia" w:cs="Helvetica"/>
          <w:bCs/>
          <w:color w:val="000000" w:themeColor="text1"/>
          <w:szCs w:val="24"/>
          <w14:textFill>
            <w14:solidFill>
              <w14:schemeClr w14:val="tx1"/>
            </w14:solidFill>
          </w14:textFill>
        </w:rPr>
        <w:t>乙方的</w:t>
      </w:r>
      <w:r>
        <w:rPr>
          <w:rFonts w:hint="eastAsia" w:cs="宋体"/>
          <w:color w:val="000000" w:themeColor="text1"/>
          <w:szCs w:val="24"/>
          <w14:textFill>
            <w14:solidFill>
              <w14:schemeClr w14:val="tx1"/>
            </w14:solidFill>
          </w14:textFill>
        </w:rPr>
        <w:t>权力</w:t>
      </w:r>
      <w:r>
        <w:rPr>
          <w:rFonts w:hint="eastAsia" w:cs="Helvetica"/>
          <w:bCs/>
          <w:color w:val="000000" w:themeColor="text1"/>
          <w:szCs w:val="24"/>
          <w14:textFill>
            <w14:solidFill>
              <w14:schemeClr w14:val="tx1"/>
            </w14:solidFill>
          </w14:textFill>
        </w:rPr>
        <w:t>和义务：</w:t>
      </w:r>
      <w:r>
        <w:rPr>
          <w:rFonts w:hint="eastAsia" w:cs="Helvetica"/>
          <w:bCs/>
          <w:i/>
          <w:iCs/>
          <w:color w:val="000000" w:themeColor="text1"/>
          <w:szCs w:val="24"/>
          <w:u w:val="single"/>
          <w14:textFill>
            <w14:solidFill>
              <w14:schemeClr w14:val="tx1"/>
            </w14:solidFill>
          </w14:textFill>
        </w:rPr>
        <w:t xml:space="preserve">                                       </w:t>
      </w:r>
      <w:r>
        <w:rPr>
          <w:rFonts w:hint="eastAsia" w:cs="Helvetica"/>
          <w:bCs/>
          <w:color w:val="000000" w:themeColor="text1"/>
          <w:szCs w:val="24"/>
          <w14:textFill>
            <w14:solidFill>
              <w14:schemeClr w14:val="tx1"/>
            </w14:solidFill>
          </w14:textFill>
        </w:rPr>
        <w:t>。</w:t>
      </w:r>
    </w:p>
    <w:p w14:paraId="71F81775">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违约责任</w:t>
      </w:r>
    </w:p>
    <w:p w14:paraId="689CBA5E">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1.</w:t>
      </w:r>
      <w:r>
        <w:rPr>
          <w:rFonts w:hint="eastAsia" w:cs="宋体"/>
          <w:color w:val="000000" w:themeColor="text1"/>
          <w:szCs w:val="24"/>
          <w:lang w:val="zh-CN"/>
          <w14:textFill>
            <w14:solidFill>
              <w14:schemeClr w14:val="tx1"/>
            </w14:solidFill>
          </w14:textFill>
        </w:rPr>
        <w:t>甲方的违约责任</w:t>
      </w:r>
      <w:r>
        <w:rPr>
          <w:rFonts w:hint="eastAsia" w:cs="宋体"/>
          <w:color w:val="000000" w:themeColor="text1"/>
          <w:szCs w:val="24"/>
          <w14:textFill>
            <w14:solidFill>
              <w14:schemeClr w14:val="tx1"/>
            </w14:solidFill>
          </w14:textFill>
        </w:rPr>
        <w:t>：</w:t>
      </w:r>
      <w:r>
        <w:rPr>
          <w:rFonts w:hint="eastAsia" w:cs="宋体"/>
          <w:color w:val="000000" w:themeColor="text1"/>
          <w:szCs w:val="24"/>
          <w:u w:val="single"/>
          <w14:textFill>
            <w14:solidFill>
              <w14:schemeClr w14:val="tx1"/>
            </w14:solidFill>
          </w14:textFill>
        </w:rPr>
        <w:t xml:space="preserve">                                         </w:t>
      </w:r>
      <w:r>
        <w:rPr>
          <w:rFonts w:hint="eastAsia" w:cs="宋体"/>
          <w:color w:val="000000" w:themeColor="text1"/>
          <w:szCs w:val="24"/>
          <w14:textFill>
            <w14:solidFill>
              <w14:schemeClr w14:val="tx1"/>
            </w14:solidFill>
          </w14:textFill>
        </w:rPr>
        <w:t>。</w:t>
      </w:r>
    </w:p>
    <w:p w14:paraId="38EAF67B">
      <w:pPr>
        <w:tabs>
          <w:tab w:val="left" w:pos="980"/>
        </w:tabs>
        <w:autoSpaceDE w:val="0"/>
        <w:autoSpaceDN w:val="0"/>
        <w:spacing w:before="60" w:beforeLines="25"/>
        <w:ind w:left="547" w:leftChars="228" w:firstLine="480" w:firstLineChars="200"/>
        <w:contextualSpacing/>
        <w:rPr>
          <w:rFonts w:hint="eastAsia"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2.乙方的违约责任：</w:t>
      </w:r>
      <w:r>
        <w:rPr>
          <w:rFonts w:hint="eastAsia" w:cs="宋体"/>
          <w:color w:val="000000" w:themeColor="text1"/>
          <w:szCs w:val="24"/>
          <w:u w:val="single"/>
          <w14:textFill>
            <w14:solidFill>
              <w14:schemeClr w14:val="tx1"/>
            </w14:solidFill>
          </w14:textFill>
        </w:rPr>
        <w:t xml:space="preserve">     </w:t>
      </w:r>
      <w:r>
        <w:rPr>
          <w:rFonts w:cs="宋体"/>
          <w:color w:val="000000" w:themeColor="text1"/>
          <w:szCs w:val="24"/>
          <w:u w:val="single"/>
          <w14:textFill>
            <w14:solidFill>
              <w14:schemeClr w14:val="tx1"/>
            </w14:solidFill>
          </w14:textFill>
        </w:rPr>
        <w:t xml:space="preserve"> </w:t>
      </w:r>
      <w:r>
        <w:rPr>
          <w:rFonts w:hint="eastAsia" w:cs="宋体"/>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(见招标文件)</w:t>
      </w:r>
      <w:r>
        <w:rPr>
          <w:rFonts w:hint="eastAsia" w:cs="宋体"/>
          <w:color w:val="000000" w:themeColor="text1"/>
          <w:szCs w:val="24"/>
          <w:u w:val="single"/>
          <w14:textFill>
            <w14:solidFill>
              <w14:schemeClr w14:val="tx1"/>
            </w14:solidFill>
          </w14:textFill>
        </w:rPr>
        <w:t xml:space="preserve">                     </w:t>
      </w:r>
      <w:r>
        <w:rPr>
          <w:rFonts w:hint="eastAsia" w:cs="宋体"/>
          <w:color w:val="000000" w:themeColor="text1"/>
          <w:szCs w:val="24"/>
          <w14:textFill>
            <w14:solidFill>
              <w14:schemeClr w14:val="tx1"/>
            </w14:solidFill>
          </w14:textFill>
        </w:rPr>
        <w:t>。</w:t>
      </w:r>
    </w:p>
    <w:p w14:paraId="44436DF7">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保密条款</w:t>
      </w:r>
    </w:p>
    <w:p w14:paraId="3D44E9C5">
      <w:pPr>
        <w:tabs>
          <w:tab w:val="left" w:pos="980"/>
        </w:tabs>
        <w:autoSpaceDE w:val="0"/>
        <w:autoSpaceDN w:val="0"/>
        <w:spacing w:before="60" w:beforeLines="25"/>
        <w:ind w:left="547" w:leftChars="228" w:firstLine="720" w:firstLineChars="300"/>
        <w:contextualSpacing/>
        <w:rPr>
          <w:rFonts w:hint="eastAsia" w:cs="Helvetica"/>
          <w:bCs/>
          <w:color w:val="000000" w:themeColor="text1"/>
          <w:szCs w:val="24"/>
          <w14:textFill>
            <w14:solidFill>
              <w14:schemeClr w14:val="tx1"/>
            </w14:solidFill>
          </w14:textFill>
        </w:rPr>
      </w:pPr>
      <w:r>
        <w:rPr>
          <w:rFonts w:hint="eastAsia" w:cs="Helvetica"/>
          <w:bCs/>
          <w:i/>
          <w:iCs/>
          <w:color w:val="000000" w:themeColor="text1"/>
          <w:szCs w:val="24"/>
          <w:u w:val="single"/>
          <w14:textFill>
            <w14:solidFill>
              <w14:schemeClr w14:val="tx1"/>
            </w14:solidFill>
          </w14:textFill>
        </w:rPr>
        <w:t xml:space="preserve">                      </w:t>
      </w:r>
      <w:r>
        <w:rPr>
          <w:rFonts w:cs="Helvetica"/>
          <w:bCs/>
          <w:i/>
          <w:iCs/>
          <w:color w:val="000000" w:themeColor="text1"/>
          <w:szCs w:val="24"/>
          <w:u w:val="single"/>
          <w14:textFill>
            <w14:solidFill>
              <w14:schemeClr w14:val="tx1"/>
            </w14:solidFill>
          </w14:textFill>
        </w:rPr>
        <w:t xml:space="preserve">  </w:t>
      </w:r>
      <w:r>
        <w:rPr>
          <w:rFonts w:hint="eastAsia" w:cs="Helvetica"/>
          <w:bCs/>
          <w:i/>
          <w:iCs/>
          <w:color w:val="000000" w:themeColor="text1"/>
          <w:szCs w:val="24"/>
          <w:u w:val="single"/>
          <w14:textFill>
            <w14:solidFill>
              <w14:schemeClr w14:val="tx1"/>
            </w14:solidFill>
          </w14:textFill>
        </w:rPr>
        <w:t xml:space="preserve"> (见招标文件)                      </w:t>
      </w:r>
      <w:r>
        <w:rPr>
          <w:rFonts w:hint="eastAsia" w:cs="Helvetica"/>
          <w:bCs/>
          <w:color w:val="000000" w:themeColor="text1"/>
          <w:szCs w:val="24"/>
          <w14:textFill>
            <w14:solidFill>
              <w14:schemeClr w14:val="tx1"/>
            </w14:solidFill>
          </w14:textFill>
        </w:rPr>
        <w:t>。</w:t>
      </w:r>
    </w:p>
    <w:p w14:paraId="488B595B">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其它补充条款</w:t>
      </w:r>
    </w:p>
    <w:p w14:paraId="632D2898">
      <w:pPr>
        <w:tabs>
          <w:tab w:val="left" w:pos="980"/>
        </w:tabs>
        <w:autoSpaceDE w:val="0"/>
        <w:autoSpaceDN w:val="0"/>
        <w:spacing w:before="60" w:beforeLines="25"/>
        <w:ind w:left="547" w:leftChars="228" w:firstLine="720" w:firstLineChars="300"/>
        <w:contextualSpacing/>
        <w:rPr>
          <w:rFonts w:hint="eastAsia" w:cs="Helvetica"/>
          <w:bCs/>
          <w:color w:val="000000" w:themeColor="text1"/>
          <w:szCs w:val="24"/>
          <w14:textFill>
            <w14:solidFill>
              <w14:schemeClr w14:val="tx1"/>
            </w14:solidFill>
          </w14:textFill>
        </w:rPr>
      </w:pPr>
      <w:r>
        <w:rPr>
          <w:rFonts w:hint="eastAsia" w:cs="Helvetica"/>
          <w:bCs/>
          <w:color w:val="000000" w:themeColor="text1"/>
          <w:szCs w:val="24"/>
          <w:u w:val="single"/>
          <w14:textFill>
            <w14:solidFill>
              <w14:schemeClr w14:val="tx1"/>
            </w14:solidFill>
          </w14:textFill>
        </w:rPr>
        <w:t xml:space="preserve">                                                           </w:t>
      </w:r>
      <w:r>
        <w:rPr>
          <w:rFonts w:hint="eastAsia" w:cs="Helvetica"/>
          <w:bCs/>
          <w:color w:val="000000" w:themeColor="text1"/>
          <w:szCs w:val="24"/>
          <w14:textFill>
            <w14:solidFill>
              <w14:schemeClr w14:val="tx1"/>
            </w14:solidFill>
          </w14:textFill>
        </w:rPr>
        <w:t>。</w:t>
      </w:r>
    </w:p>
    <w:p w14:paraId="2BFF2EC8">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不可抗力</w:t>
      </w:r>
    </w:p>
    <w:p w14:paraId="3348A744">
      <w:pPr>
        <w:pStyle w:val="91"/>
        <w:wordWrap/>
        <w:rPr>
          <w:rFonts w:hint="eastAsia"/>
          <w:b/>
          <w:bCs/>
          <w:color w:val="000000" w:themeColor="text1"/>
          <w14:textFill>
            <w14:solidFill>
              <w14:schemeClr w14:val="tx1"/>
            </w14:solidFill>
          </w14:textFill>
        </w:rPr>
      </w:pPr>
      <w:r>
        <w:rPr>
          <w:rFonts w:hint="eastAsia"/>
          <w:color w:val="000000" w:themeColor="text1"/>
          <w14:textFill>
            <w14:solidFill>
              <w14:schemeClr w14:val="tx1"/>
            </w14:solidFill>
          </w14:textFill>
        </w:rPr>
        <w:t>任何一方由于不可抗力原因不能履行合同时，应在不可抗力事件结束后</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日内以书面形式通知对方，以减轻可能给对方造成的损失，在取得有关机构的不可抗力证明或双方谅解确认后，允许延期履行或修订合同，并根据情况可部分或</w:t>
      </w:r>
      <w:r>
        <w:rPr>
          <w:rFonts w:hint="eastAsia"/>
          <w:b/>
          <w:bCs/>
          <w:color w:val="000000" w:themeColor="text1"/>
          <w14:textFill>
            <w14:solidFill>
              <w14:schemeClr w14:val="tx1"/>
            </w14:solidFill>
          </w14:textFill>
        </w:rPr>
        <w:t>全部免于承担违约责任。</w:t>
      </w:r>
    </w:p>
    <w:p w14:paraId="2F80A367">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解决争议的方法</w:t>
      </w:r>
    </w:p>
    <w:p w14:paraId="461CA493">
      <w:pPr>
        <w:tabs>
          <w:tab w:val="left" w:pos="980"/>
        </w:tabs>
        <w:autoSpaceDE w:val="0"/>
        <w:autoSpaceDN w:val="0"/>
        <w:spacing w:before="60" w:beforeLines="25"/>
        <w:ind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一切由执行合同引起的或与本合同有关的争执，双方应通过友好协商解决，如协商不能解决应提交甲方所在地有管辖权的人民法院诉讼解决。</w:t>
      </w:r>
    </w:p>
    <w:p w14:paraId="273D05E6">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合同组成</w:t>
      </w:r>
    </w:p>
    <w:p w14:paraId="5905A49C">
      <w:pPr>
        <w:spacing w:before="60" w:beforeLines="25"/>
        <w:ind w:firstLine="960" w:firstLineChars="400"/>
        <w:rPr>
          <w:rFonts w:hint="eastAsia" w:cs="Helvetica"/>
          <w:color w:val="000000" w:themeColor="text1"/>
          <w:szCs w:val="24"/>
          <w:lang w:val="zh-CN"/>
          <w14:textFill>
            <w14:solidFill>
              <w14:schemeClr w14:val="tx1"/>
            </w14:solidFill>
          </w14:textFill>
        </w:rPr>
      </w:pPr>
      <w:r>
        <w:rPr>
          <w:rFonts w:hint="eastAsia"/>
          <w:color w:val="000000" w:themeColor="text1"/>
          <w14:textFill>
            <w14:solidFill>
              <w14:schemeClr w14:val="tx1"/>
            </w14:solidFill>
          </w14:textFill>
        </w:rPr>
        <w:t>下列文件为本合同不可分割的部分：</w:t>
      </w:r>
    </w:p>
    <w:p w14:paraId="68F7BC9F">
      <w:pPr>
        <w:tabs>
          <w:tab w:val="left" w:pos="980"/>
        </w:tabs>
        <w:autoSpaceDE w:val="0"/>
        <w:autoSpaceDN w:val="0"/>
        <w:spacing w:before="60" w:beforeLines="25"/>
        <w:ind w:left="547" w:leftChars="228" w:firstLine="480" w:firstLineChars="200"/>
        <w:contextualSpacing/>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zh-CN"/>
          <w14:textFill>
            <w14:solidFill>
              <w14:schemeClr w14:val="tx1"/>
            </w14:solidFill>
          </w14:textFill>
        </w:rPr>
        <w:t>合同书；</w:t>
      </w:r>
    </w:p>
    <w:p w14:paraId="10F2684E">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zh-CN"/>
          <w14:textFill>
            <w14:solidFill>
              <w14:schemeClr w14:val="tx1"/>
            </w14:solidFill>
          </w14:textFill>
        </w:rPr>
        <w:t>代理机构发出的中标或成交通知书；</w:t>
      </w:r>
      <w:r>
        <w:rPr>
          <w:color w:val="000000" w:themeColor="text1"/>
          <w14:textFill>
            <w14:solidFill>
              <w14:schemeClr w14:val="tx1"/>
            </w14:solidFill>
          </w14:textFill>
        </w:rPr>
        <w:t xml:space="preserve"> </w:t>
      </w:r>
    </w:p>
    <w:p w14:paraId="1E85EA2D">
      <w:pPr>
        <w:tabs>
          <w:tab w:val="left" w:pos="980"/>
        </w:tabs>
        <w:autoSpaceDE w:val="0"/>
        <w:autoSpaceDN w:val="0"/>
        <w:spacing w:before="60" w:beforeLines="25"/>
        <w:ind w:left="547" w:leftChars="228" w:firstLine="480" w:firstLineChars="200"/>
        <w:contextualSpacing/>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3.</w:t>
      </w:r>
      <w:r>
        <w:rPr>
          <w:rFonts w:hint="eastAsia"/>
          <w:color w:val="000000" w:themeColor="text1"/>
          <w:lang w:val="zh-CN"/>
          <w14:textFill>
            <w14:solidFill>
              <w14:schemeClr w14:val="tx1"/>
            </w14:solidFill>
          </w14:textFill>
        </w:rPr>
        <w:t>经双方确认并共同签字的补充文件、技术协议等；</w:t>
      </w:r>
    </w:p>
    <w:p w14:paraId="7C730A14">
      <w:pPr>
        <w:tabs>
          <w:tab w:val="left" w:pos="980"/>
        </w:tabs>
        <w:autoSpaceDE w:val="0"/>
        <w:autoSpaceDN w:val="0"/>
        <w:spacing w:before="60" w:beforeLines="25"/>
        <w:ind w:left="547" w:leftChars="228" w:firstLine="480" w:firstLineChars="200"/>
        <w:contextualSpacing/>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zh-CN"/>
          <w14:textFill>
            <w14:solidFill>
              <w14:schemeClr w14:val="tx1"/>
            </w14:solidFill>
          </w14:textFill>
        </w:rPr>
        <w:t>乙方的投标或响应文件（含附件、补充文件、图纸等）；</w:t>
      </w:r>
    </w:p>
    <w:p w14:paraId="7556E9A6">
      <w:pPr>
        <w:tabs>
          <w:tab w:val="left" w:pos="980"/>
        </w:tabs>
        <w:autoSpaceDE w:val="0"/>
        <w:autoSpaceDN w:val="0"/>
        <w:spacing w:before="60" w:beforeLines="25"/>
        <w:ind w:left="547" w:leftChars="228" w:firstLine="480" w:firstLineChars="200"/>
        <w:contextualSpacing/>
        <w:rPr>
          <w:rFonts w:hint="eastAsia"/>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r>
        <w:rPr>
          <w:rFonts w:hint="eastAsia"/>
          <w:color w:val="000000" w:themeColor="text1"/>
          <w:lang w:val="zh-CN"/>
          <w14:textFill>
            <w14:solidFill>
              <w14:schemeClr w14:val="tx1"/>
            </w14:solidFill>
          </w14:textFill>
        </w:rPr>
        <w:t>采购文件（含附件、补充文件、图纸等</w:t>
      </w:r>
      <w:r>
        <w:rPr>
          <w:rFonts w:hint="eastAsia"/>
          <w:color w:val="000000" w:themeColor="text1"/>
          <w14:textFill>
            <w14:solidFill>
              <w14:schemeClr w14:val="tx1"/>
            </w14:solidFill>
          </w14:textFill>
        </w:rPr>
        <w:t>）。</w:t>
      </w:r>
    </w:p>
    <w:p w14:paraId="78F576A1">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合同生效与终止</w:t>
      </w:r>
    </w:p>
    <w:p w14:paraId="334CDCE5">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1.本合同经甲乙双方授权代表签字和加盖公章（或合同专用章）后生效。如招标申请公证的，合同需经公证机构公证后生效。</w:t>
      </w:r>
    </w:p>
    <w:p w14:paraId="7B4903C4">
      <w:pPr>
        <w:tabs>
          <w:tab w:val="left" w:pos="980"/>
        </w:tabs>
        <w:autoSpaceDE w:val="0"/>
        <w:autoSpaceDN w:val="0"/>
        <w:spacing w:before="60" w:beforeLines="25"/>
        <w:ind w:firstLine="960" w:firstLineChars="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2.双方履行完各自权利和义务后合同自行终止。</w:t>
      </w:r>
    </w:p>
    <w:p w14:paraId="4233DA0E">
      <w:pPr>
        <w:tabs>
          <w:tab w:val="left" w:pos="980"/>
        </w:tabs>
        <w:autoSpaceDE w:val="0"/>
        <w:autoSpaceDN w:val="0"/>
        <w:spacing w:before="60" w:beforeLines="25"/>
        <w:ind w:firstLine="960" w:firstLineChars="4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3.本合同规定可以终止合同的情形。</w:t>
      </w:r>
    </w:p>
    <w:p w14:paraId="6EC852E3">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通知与送达</w:t>
      </w:r>
    </w:p>
    <w:p w14:paraId="1645F1E9">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1.就本合同有关事项，双方应通过本合同约定的联系方式向对方发送相关通知，本合同约定的送达地址同时作为有效司法送达地址。</w:t>
      </w:r>
    </w:p>
    <w:p w14:paraId="282EAF44">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2.一方变更通知或通讯地址，应自变更之日起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日内，以书面形式通知对方，否则，由未通知方承担由此而引起的相关责任。</w:t>
      </w:r>
    </w:p>
    <w:p w14:paraId="6C8FF42A">
      <w:pPr>
        <w:pStyle w:val="92"/>
        <w:numPr>
          <w:ilvl w:val="0"/>
          <w:numId w:val="23"/>
        </w:numPr>
        <w:ind w:left="0"/>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其它</w:t>
      </w:r>
    </w:p>
    <w:p w14:paraId="76944379">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本合同正本一式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份，甲方执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份，乙方执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份；副本一式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份，甲方执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份，乙方执</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w:t>
      </w:r>
    </w:p>
    <w:p w14:paraId="756EF90F">
      <w:pPr>
        <w:tabs>
          <w:tab w:val="left" w:pos="980"/>
        </w:tabs>
        <w:autoSpaceDE w:val="0"/>
        <w:autoSpaceDN w:val="0"/>
        <w:spacing w:before="60" w:beforeLines="25"/>
        <w:ind w:left="547" w:leftChars="228" w:firstLine="480" w:firstLineChars="200"/>
        <w:contextualSpacing/>
        <w:rPr>
          <w:rFonts w:hint="eastAsia"/>
          <w:color w:val="000000" w:themeColor="text1"/>
          <w14:textFill>
            <w14:solidFill>
              <w14:schemeClr w14:val="tx1"/>
            </w14:solidFill>
          </w14:textFill>
        </w:rPr>
      </w:pPr>
    </w:p>
    <w:p w14:paraId="1775FEC8">
      <w:pPr>
        <w:spacing w:before="60" w:beforeLines="25"/>
        <w:ind w:firstLine="489" w:firstLineChars="2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1C6D2434">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　　方：</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乙　　方：</w:t>
      </w:r>
    </w:p>
    <w:p w14:paraId="31978304">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单位名称（盖章）：</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单位名称（盖章）：</w:t>
      </w:r>
    </w:p>
    <w:p w14:paraId="1AC62680">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单位地址：</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单位地址：</w:t>
      </w:r>
    </w:p>
    <w:p w14:paraId="666A2BE5">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法人代表授权人(签字)：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法人代表授权人(签字)：</w:t>
      </w:r>
    </w:p>
    <w:p w14:paraId="7A4034F9">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 系 人：</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联 系 人：</w:t>
      </w:r>
    </w:p>
    <w:p w14:paraId="557C5F8A">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电　　话：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电　　话：</w:t>
      </w:r>
    </w:p>
    <w:p w14:paraId="35CD025A">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传　　真：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传　　真：</w:t>
      </w:r>
    </w:p>
    <w:p w14:paraId="0AF7C5A5">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邮政编码：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邮政编码：</w:t>
      </w:r>
    </w:p>
    <w:p w14:paraId="75125A26">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开户银行：</w:t>
      </w:r>
    </w:p>
    <w:p w14:paraId="72142A5C">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账　　号：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账　　号：</w:t>
      </w:r>
    </w:p>
    <w:p w14:paraId="790FA506">
      <w:pPr>
        <w:spacing w:before="60" w:beforeLines="25"/>
        <w:ind w:firstLine="969" w:firstLineChars="404"/>
        <w:contextualSpacing/>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税　　号：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税　　号：</w:t>
      </w:r>
    </w:p>
    <w:p w14:paraId="24CD6E0B">
      <w:pPr>
        <w:rPr>
          <w:rFonts w:hint="eastAsia"/>
          <w:color w:val="000000" w:themeColor="text1"/>
          <w:lang w:val="zh-CN"/>
          <w14:textFill>
            <w14:solidFill>
              <w14:schemeClr w14:val="tx1"/>
            </w14:solidFill>
          </w14:textFill>
        </w:rPr>
        <w:sectPr>
          <w:pgSz w:w="11906" w:h="16838"/>
          <w:pgMar w:top="1440" w:right="1440" w:bottom="1440" w:left="1440" w:header="851" w:footer="992" w:gutter="0"/>
          <w:cols w:space="720" w:num="1"/>
          <w:docGrid w:linePitch="312" w:charSpace="0"/>
        </w:sectPr>
      </w:pPr>
    </w:p>
    <w:p w14:paraId="5E84AE43">
      <w:pPr>
        <w:pStyle w:val="3"/>
        <w:spacing w:before="0" w:after="0"/>
        <w:jc w:val="both"/>
        <w:rPr>
          <w:rFonts w:hint="eastAsia"/>
          <w:color w:val="000000" w:themeColor="text1"/>
          <w14:textFill>
            <w14:solidFill>
              <w14:schemeClr w14:val="tx1"/>
            </w14:solidFill>
          </w14:textFill>
        </w:rPr>
      </w:pPr>
      <w:bookmarkStart w:id="414" w:name="_Toc155185919"/>
      <w:r>
        <w:rPr>
          <w:rFonts w:hint="eastAsia"/>
          <w:color w:val="000000" w:themeColor="text1"/>
          <w14:textFill>
            <w14:solidFill>
              <w14:schemeClr w14:val="tx1"/>
            </w14:solidFill>
          </w14:textFill>
        </w:rPr>
        <w:t xml:space="preserve">    </w:t>
      </w:r>
      <w:bookmarkStart w:id="415" w:name="_Toc8798"/>
      <w:r>
        <w:rPr>
          <w:rFonts w:hint="eastAsia"/>
          <w:color w:val="000000" w:themeColor="text1"/>
          <w14:textFill>
            <w14:solidFill>
              <w14:schemeClr w14:val="tx1"/>
            </w14:solidFill>
          </w14:textFill>
        </w:rPr>
        <w:t xml:space="preserve">第七章 </w:t>
      </w:r>
      <w:r>
        <w:rPr>
          <w:color w:val="000000" w:themeColor="text1"/>
          <w14:textFill>
            <w14:solidFill>
              <w14:schemeClr w14:val="tx1"/>
            </w14:solidFill>
          </w14:textFill>
        </w:rPr>
        <w:t>投标文件的格式</w:t>
      </w:r>
      <w:bookmarkEnd w:id="414"/>
      <w:bookmarkEnd w:id="415"/>
    </w:p>
    <w:p w14:paraId="27757588">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7E49A38">
      <w:pPr>
        <w:pStyle w:val="4"/>
        <w:numPr>
          <w:ilvl w:val="0"/>
          <w:numId w:val="24"/>
        </w:numPr>
        <w:spacing w:before="0" w:after="0"/>
        <w:ind w:left="0"/>
        <w:rPr>
          <w:rFonts w:hint="eastAsia"/>
          <w:color w:val="000000" w:themeColor="text1"/>
          <w:lang w:val="zh-CN"/>
          <w14:textFill>
            <w14:solidFill>
              <w14:schemeClr w14:val="tx1"/>
            </w14:solidFill>
          </w14:textFill>
        </w:rPr>
      </w:pPr>
      <w:bookmarkStart w:id="416" w:name="_Toc26703"/>
      <w:bookmarkStart w:id="417" w:name="_Toc155185920"/>
      <w:r>
        <w:rPr>
          <w:rFonts w:hint="eastAsia"/>
          <w:color w:val="000000" w:themeColor="text1"/>
          <w:lang w:val="zh-CN"/>
          <w14:textFill>
            <w14:solidFill>
              <w14:schemeClr w14:val="tx1"/>
            </w14:solidFill>
          </w14:textFill>
        </w:rPr>
        <w:t>投标函及报价文件</w:t>
      </w:r>
      <w:bookmarkEnd w:id="416"/>
      <w:bookmarkEnd w:id="417"/>
    </w:p>
    <w:p w14:paraId="77DC5FC0">
      <w:pPr>
        <w:ind w:firstLine="480" w:firstLineChars="200"/>
        <w:rPr>
          <w:rFonts w:hint="eastAsia" w:cs="仿宋_GB2312"/>
          <w:color w:val="000000" w:themeColor="text1"/>
          <w:szCs w:val="24"/>
          <w:lang w:val="zh-CN"/>
          <w14:textFill>
            <w14:solidFill>
              <w14:schemeClr w14:val="tx1"/>
            </w14:solidFill>
          </w14:textFill>
        </w:rPr>
      </w:pPr>
      <w:r>
        <w:rPr>
          <w:rFonts w:hint="eastAsia" w:cs="仿宋_GB2312"/>
          <w:color w:val="000000" w:themeColor="text1"/>
          <w:szCs w:val="24"/>
          <w:lang w:val="zh-CN"/>
          <w14:textFill>
            <w14:solidFill>
              <w14:schemeClr w14:val="tx1"/>
            </w14:solidFill>
          </w14:textFill>
        </w:rPr>
        <w:t>封面：</w:t>
      </w:r>
    </w:p>
    <w:p w14:paraId="300A44AB">
      <w:pPr>
        <w:autoSpaceDE w:val="0"/>
        <w:autoSpaceDN w:val="0"/>
        <w:adjustRightInd w:val="0"/>
        <w:rPr>
          <w:rFonts w:hint="eastAsia"/>
          <w:color w:val="000000" w:themeColor="text1"/>
          <w:sz w:val="21"/>
          <w:szCs w:val="24"/>
          <w14:textFill>
            <w14:solidFill>
              <w14:schemeClr w14:val="tx1"/>
            </w14:solidFill>
          </w14:textFill>
        </w:rPr>
      </w:pPr>
    </w:p>
    <w:p w14:paraId="6F448D5C">
      <w:pPr>
        <w:autoSpaceDE w:val="0"/>
        <w:autoSpaceDN w:val="0"/>
        <w:adjustRightInd w:val="0"/>
        <w:rPr>
          <w:rFonts w:hint="eastAsia"/>
          <w:color w:val="000000" w:themeColor="text1"/>
          <w:sz w:val="21"/>
          <w:szCs w:val="24"/>
          <w14:textFill>
            <w14:solidFill>
              <w14:schemeClr w14:val="tx1"/>
            </w14:solidFill>
          </w14:textFill>
        </w:rPr>
      </w:pPr>
    </w:p>
    <w:p w14:paraId="1ED593AF">
      <w:pPr>
        <w:autoSpaceDE w:val="0"/>
        <w:autoSpaceDN w:val="0"/>
        <w:adjustRightInd w:val="0"/>
        <w:jc w:val="center"/>
        <w:rPr>
          <w:rFonts w:hint="eastAsia"/>
          <w:color w:val="000000" w:themeColor="text1"/>
          <w:sz w:val="21"/>
          <w:szCs w:val="24"/>
          <w14:textFill>
            <w14:solidFill>
              <w14:schemeClr w14:val="tx1"/>
            </w14:solidFill>
          </w14:textFill>
        </w:rPr>
      </w:pPr>
    </w:p>
    <w:p w14:paraId="06A4B37A">
      <w:pPr>
        <w:autoSpaceDE w:val="0"/>
        <w:autoSpaceDN w:val="0"/>
        <w:adjustRightInd w:val="0"/>
        <w:jc w:val="center"/>
        <w:rPr>
          <w:rFonts w:hint="eastAsia"/>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投 标 文 件</w:t>
      </w:r>
    </w:p>
    <w:p w14:paraId="439560F5">
      <w:pPr>
        <w:autoSpaceDE w:val="0"/>
        <w:autoSpaceDN w:val="0"/>
        <w:adjustRightInd w:val="0"/>
        <w:jc w:val="center"/>
        <w:rPr>
          <w:rFonts w:hint="eastAsia"/>
          <w:b/>
          <w:color w:val="000000" w:themeColor="text1"/>
          <w:sz w:val="56"/>
          <w:szCs w:val="56"/>
          <w14:textFill>
            <w14:solidFill>
              <w14:schemeClr w14:val="tx1"/>
            </w14:solidFill>
          </w14:textFill>
        </w:rPr>
      </w:pPr>
      <w:r>
        <w:rPr>
          <w:rFonts w:hint="eastAsia"/>
          <w:b/>
          <w:color w:val="000000" w:themeColor="text1"/>
          <w:sz w:val="56"/>
          <w:szCs w:val="56"/>
          <w14:textFill>
            <w14:solidFill>
              <w14:schemeClr w14:val="tx1"/>
            </w14:solidFill>
          </w14:textFill>
        </w:rPr>
        <w:t>投标函及报价文件</w:t>
      </w:r>
    </w:p>
    <w:p w14:paraId="7F9562BC">
      <w:pPr>
        <w:autoSpaceDE w:val="0"/>
        <w:autoSpaceDN w:val="0"/>
        <w:adjustRightInd w:val="0"/>
        <w:rPr>
          <w:rFonts w:hint="eastAsia"/>
          <w:b/>
          <w:bCs/>
          <w:color w:val="000000" w:themeColor="text1"/>
          <w:sz w:val="22"/>
          <w14:textFill>
            <w14:solidFill>
              <w14:schemeClr w14:val="tx1"/>
            </w14:solidFill>
          </w14:textFill>
        </w:rPr>
      </w:pPr>
    </w:p>
    <w:p w14:paraId="7C78A639">
      <w:pPr>
        <w:autoSpaceDE w:val="0"/>
        <w:autoSpaceDN w:val="0"/>
        <w:adjustRightInd w:val="0"/>
        <w:rPr>
          <w:rFonts w:hint="eastAsia"/>
          <w:color w:val="000000" w:themeColor="text1"/>
          <w:sz w:val="21"/>
          <w:szCs w:val="21"/>
          <w14:textFill>
            <w14:solidFill>
              <w14:schemeClr w14:val="tx1"/>
            </w14:solidFill>
          </w14:textFill>
        </w:rPr>
      </w:pPr>
    </w:p>
    <w:p w14:paraId="1ECF76FE">
      <w:pPr>
        <w:autoSpaceDE w:val="0"/>
        <w:autoSpaceDN w:val="0"/>
        <w:adjustRightInd w:val="0"/>
        <w:rPr>
          <w:rFonts w:hint="eastAsia"/>
          <w:color w:val="000000" w:themeColor="text1"/>
          <w:sz w:val="21"/>
          <w:szCs w:val="21"/>
          <w14:textFill>
            <w14:solidFill>
              <w14:schemeClr w14:val="tx1"/>
            </w14:solidFill>
          </w14:textFill>
        </w:rPr>
      </w:pPr>
    </w:p>
    <w:p w14:paraId="0C385299">
      <w:pPr>
        <w:autoSpaceDE w:val="0"/>
        <w:autoSpaceDN w:val="0"/>
        <w:adjustRightInd w:val="0"/>
        <w:rPr>
          <w:rFonts w:hint="eastAsia"/>
          <w:color w:val="000000" w:themeColor="text1"/>
          <w:sz w:val="21"/>
          <w:szCs w:val="21"/>
          <w14:textFill>
            <w14:solidFill>
              <w14:schemeClr w14:val="tx1"/>
            </w14:solidFill>
          </w14:textFill>
        </w:rPr>
      </w:pPr>
    </w:p>
    <w:p w14:paraId="42F85019">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r>
        <w:rPr>
          <w:rFonts w:ascii="黑体" w:hAnsi="黑体" w:eastAsia="黑体"/>
          <w:color w:val="000000" w:themeColor="text1"/>
          <w:sz w:val="32"/>
          <w:szCs w:val="32"/>
          <w:u w:val="single"/>
          <w14:textFill>
            <w14:solidFill>
              <w14:schemeClr w14:val="tx1"/>
            </w14:solidFill>
          </w14:textFill>
        </w:rPr>
        <w:t xml:space="preserve">                                  </w:t>
      </w:r>
    </w:p>
    <w:p w14:paraId="6C5CEC83">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07C263BD">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20635C4B">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采购包编号：</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26CFD112">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采购包名称：</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161B1F5D">
      <w:pPr>
        <w:ind w:left="420" w:leftChars="175"/>
        <w:rPr>
          <w:rFonts w:hint="eastAsia" w:ascii="黑体" w:hAnsi="黑体" w:eastAsia="黑体"/>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投标人</w:t>
      </w:r>
      <w:r>
        <w:rPr>
          <w:rFonts w:hint="eastAsia" w:ascii="黑体" w:hAnsi="黑体" w:eastAsia="黑体"/>
          <w:color w:val="000000" w:themeColor="text1"/>
          <w:sz w:val="32"/>
          <w:szCs w:val="32"/>
          <w14:textFill>
            <w14:solidFill>
              <w14:schemeClr w14:val="tx1"/>
            </w14:solidFill>
          </w14:textFill>
        </w:rPr>
        <w:t>：</w:t>
      </w:r>
      <w:r>
        <w:rPr>
          <w:rFonts w:ascii="黑体" w:hAnsi="黑体" w:eastAsia="黑体"/>
          <w:color w:val="000000" w:themeColor="text1"/>
          <w:sz w:val="32"/>
          <w:szCs w:val="32"/>
          <w:u w:val="single"/>
          <w14:textFill>
            <w14:solidFill>
              <w14:schemeClr w14:val="tx1"/>
            </w14:solidFill>
          </w14:textFill>
        </w:rPr>
        <w:t xml:space="preserve">                                          </w:t>
      </w:r>
    </w:p>
    <w:p w14:paraId="228C148A">
      <w:pPr>
        <w:ind w:firstLine="420"/>
        <w:rPr>
          <w:rFonts w:hint="eastAsia"/>
          <w:b/>
          <w:bCs/>
          <w:color w:val="000000" w:themeColor="text1"/>
          <w:sz w:val="28"/>
          <w:szCs w:val="28"/>
          <w14:textFill>
            <w14:solidFill>
              <w14:schemeClr w14:val="tx1"/>
            </w14:solidFill>
          </w14:textFill>
        </w:rPr>
      </w:pPr>
    </w:p>
    <w:p w14:paraId="4CC1BA83">
      <w:pPr>
        <w:ind w:firstLine="420"/>
        <w:rPr>
          <w:rFonts w:hint="eastAsia"/>
          <w:b/>
          <w:bCs/>
          <w:color w:val="000000" w:themeColor="text1"/>
          <w:sz w:val="28"/>
          <w:szCs w:val="28"/>
          <w14:textFill>
            <w14:solidFill>
              <w14:schemeClr w14:val="tx1"/>
            </w14:solidFill>
          </w14:textFill>
        </w:rPr>
      </w:pPr>
    </w:p>
    <w:p w14:paraId="66A7769C">
      <w:pPr>
        <w:ind w:firstLine="420"/>
        <w:rPr>
          <w:rFonts w:hint="eastAsia"/>
          <w:b/>
          <w:bCs/>
          <w:color w:val="000000" w:themeColor="text1"/>
          <w:sz w:val="28"/>
          <w:szCs w:val="28"/>
          <w14:textFill>
            <w14:solidFill>
              <w14:schemeClr w14:val="tx1"/>
            </w14:solidFill>
          </w14:textFill>
        </w:rPr>
      </w:pPr>
    </w:p>
    <w:p w14:paraId="41A9CC01">
      <w:pPr>
        <w:ind w:firstLine="420"/>
        <w:rPr>
          <w:rFonts w:hint="eastAsia"/>
          <w:b/>
          <w:bCs/>
          <w:color w:val="000000" w:themeColor="text1"/>
          <w:sz w:val="28"/>
          <w:szCs w:val="28"/>
          <w14:textFill>
            <w14:solidFill>
              <w14:schemeClr w14:val="tx1"/>
            </w14:solidFill>
          </w14:textFill>
        </w:rPr>
      </w:pPr>
    </w:p>
    <w:p w14:paraId="331210BF">
      <w:pPr>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年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月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日</w:t>
      </w:r>
    </w:p>
    <w:p w14:paraId="642B8881">
      <w:pPr>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C7E5A5F">
      <w:pPr>
        <w:pStyle w:val="5"/>
        <w:numPr>
          <w:ilvl w:val="0"/>
          <w:numId w:val="25"/>
        </w:numPr>
        <w:spacing w:before="0" w:after="0"/>
        <w:ind w:left="0"/>
        <w:rPr>
          <w:rFonts w:hint="eastAsia"/>
          <w:color w:val="000000" w:themeColor="text1"/>
          <w14:textFill>
            <w14:solidFill>
              <w14:schemeClr w14:val="tx1"/>
            </w14:solidFill>
          </w14:textFill>
        </w:rPr>
      </w:pPr>
      <w:bookmarkStart w:id="418" w:name="_Toc17408"/>
      <w:bookmarkStart w:id="419" w:name="_Toc3577"/>
      <w:bookmarkStart w:id="420" w:name="_Toc109900327"/>
      <w:bookmarkStart w:id="421" w:name="_Toc109899908"/>
      <w:bookmarkStart w:id="422" w:name="_Toc25655"/>
      <w:bookmarkStart w:id="423" w:name="_Toc155185921"/>
      <w:bookmarkStart w:id="424" w:name="_Toc140132831"/>
      <w:bookmarkStart w:id="425" w:name="_Toc109899489"/>
      <w:bookmarkStart w:id="426" w:name="_Toc25402"/>
      <w:r>
        <w:rPr>
          <w:rFonts w:hint="eastAsia"/>
          <w:color w:val="000000" w:themeColor="text1"/>
          <w14:textFill>
            <w14:solidFill>
              <w14:schemeClr w14:val="tx1"/>
            </w14:solidFill>
          </w14:textFill>
        </w:rPr>
        <w:t>投标函</w:t>
      </w:r>
      <w:bookmarkEnd w:id="418"/>
      <w:bookmarkEnd w:id="419"/>
      <w:bookmarkEnd w:id="420"/>
      <w:bookmarkEnd w:id="421"/>
      <w:bookmarkEnd w:id="422"/>
      <w:bookmarkEnd w:id="423"/>
      <w:bookmarkEnd w:id="424"/>
      <w:bookmarkEnd w:id="425"/>
      <w:bookmarkEnd w:id="426"/>
    </w:p>
    <w:p w14:paraId="7FE9DB05">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致：（采购人和采购代理机构）</w:t>
      </w:r>
    </w:p>
    <w:p w14:paraId="45D50C44">
      <w:pPr>
        <w:ind w:firstLine="480" w:firstLineChars="200"/>
        <w:rPr>
          <w:rFonts w:hint="eastAsia" w:cs="仿宋_GB2312"/>
          <w:b/>
          <w:bCs/>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根据贵方</w:t>
      </w:r>
      <w:r>
        <w:rPr>
          <w:rFonts w:hint="eastAsia" w:cs="仿宋_GB2312"/>
          <w:color w:val="000000" w:themeColor="text1"/>
          <w:szCs w:val="24"/>
          <w:u w:val="single"/>
          <w14:textFill>
            <w14:solidFill>
              <w14:schemeClr w14:val="tx1"/>
            </w14:solidFill>
          </w14:textFill>
        </w:rPr>
        <w:t>（项目名称）（项目编号）</w:t>
      </w:r>
      <w:r>
        <w:rPr>
          <w:rFonts w:hint="eastAsia" w:cs="仿宋_GB2312"/>
          <w:color w:val="000000" w:themeColor="text1"/>
          <w:szCs w:val="24"/>
          <w14:textFill>
            <w14:solidFill>
              <w14:schemeClr w14:val="tx1"/>
            </w14:solidFill>
          </w14:textFill>
        </w:rPr>
        <w:t>招标的投标邀请，签字代表</w:t>
      </w:r>
      <w:r>
        <w:rPr>
          <w:rFonts w:hint="eastAsia" w:cs="仿宋_GB2312"/>
          <w:color w:val="000000" w:themeColor="text1"/>
          <w:szCs w:val="24"/>
          <w:u w:val="single"/>
          <w14:textFill>
            <w14:solidFill>
              <w14:schemeClr w14:val="tx1"/>
            </w14:solidFill>
          </w14:textFill>
        </w:rPr>
        <w:t>（姓名、职务）</w:t>
      </w:r>
      <w:r>
        <w:rPr>
          <w:rFonts w:hint="eastAsia" w:cs="仿宋_GB2312"/>
          <w:color w:val="000000" w:themeColor="text1"/>
          <w:szCs w:val="24"/>
          <w14:textFill>
            <w14:solidFill>
              <w14:schemeClr w14:val="tx1"/>
            </w14:solidFill>
          </w14:textFill>
        </w:rPr>
        <w:t>经正式授权并代表投标人</w:t>
      </w:r>
      <w:r>
        <w:rPr>
          <w:rFonts w:hint="eastAsia" w:cs="仿宋_GB2312"/>
          <w:color w:val="000000" w:themeColor="text1"/>
          <w:szCs w:val="24"/>
          <w:u w:val="single"/>
          <w14:textFill>
            <w14:solidFill>
              <w14:schemeClr w14:val="tx1"/>
            </w14:solidFill>
          </w14:textFill>
        </w:rPr>
        <w:t>（投标人名称、地址）</w:t>
      </w:r>
      <w:r>
        <w:rPr>
          <w:rFonts w:hint="eastAsia" w:cs="仿宋_GB2312"/>
          <w:color w:val="000000" w:themeColor="text1"/>
          <w:szCs w:val="24"/>
          <w14:textFill>
            <w14:solidFill>
              <w14:schemeClr w14:val="tx1"/>
            </w14:solidFill>
          </w14:textFill>
        </w:rPr>
        <w:t>提交下述文件</w:t>
      </w:r>
      <w:r>
        <w:rPr>
          <w:rFonts w:hint="eastAsia" w:cs="仿宋_GB2312"/>
          <w:b/>
          <w:bCs/>
          <w:color w:val="000000" w:themeColor="text1"/>
          <w:szCs w:val="24"/>
          <w14:textFill>
            <w14:solidFill>
              <w14:schemeClr w14:val="tx1"/>
            </w14:solidFill>
          </w14:textFill>
        </w:rPr>
        <w:t>：</w:t>
      </w:r>
    </w:p>
    <w:p w14:paraId="5005A75C">
      <w:pPr>
        <w:numPr>
          <w:ilvl w:val="0"/>
          <w:numId w:val="26"/>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投标报价</w:t>
      </w:r>
      <w:r>
        <w:rPr>
          <w:rFonts w:cs="Arial"/>
          <w:color w:val="000000" w:themeColor="text1"/>
          <w:szCs w:val="24"/>
          <w14:textFill>
            <w14:solidFill>
              <w14:schemeClr w14:val="tx1"/>
            </w14:solidFill>
          </w14:textFill>
        </w:rPr>
        <w:t>文件；</w:t>
      </w:r>
    </w:p>
    <w:p w14:paraId="37E7FCBE">
      <w:pPr>
        <w:numPr>
          <w:ilvl w:val="0"/>
          <w:numId w:val="26"/>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资格性响应文件；</w:t>
      </w:r>
    </w:p>
    <w:p w14:paraId="610181A6">
      <w:pPr>
        <w:numPr>
          <w:ilvl w:val="0"/>
          <w:numId w:val="26"/>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其他响应文件</w:t>
      </w:r>
      <w:r>
        <w:rPr>
          <w:rFonts w:cs="Arial"/>
          <w:color w:val="000000" w:themeColor="text1"/>
          <w:szCs w:val="24"/>
          <w14:textFill>
            <w14:solidFill>
              <w14:schemeClr w14:val="tx1"/>
            </w14:solidFill>
          </w14:textFill>
        </w:rPr>
        <w:t>。</w:t>
      </w:r>
    </w:p>
    <w:p w14:paraId="007D31D7">
      <w:pPr>
        <w:spacing w:line="324" w:lineRule="auto"/>
        <w:rPr>
          <w:rFonts w:hint="eastAsia"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t>根据此函，签字代表宣布同意如下：</w:t>
      </w:r>
    </w:p>
    <w:p w14:paraId="7D38D51D">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t>所附投标价格表中规定的应提交和交付的服务和</w:t>
      </w:r>
      <w:r>
        <w:rPr>
          <w:rFonts w:hint="eastAsia" w:cs="Arial"/>
          <w:color w:val="000000" w:themeColor="text1"/>
          <w:szCs w:val="24"/>
          <w14:textFill>
            <w14:solidFill>
              <w14:schemeClr w14:val="tx1"/>
            </w14:solidFill>
          </w14:textFill>
        </w:rPr>
        <w:t>货物（如有）</w:t>
      </w:r>
      <w:r>
        <w:rPr>
          <w:rFonts w:cs="Arial"/>
          <w:color w:val="000000" w:themeColor="text1"/>
          <w:szCs w:val="24"/>
          <w14:textFill>
            <w14:solidFill>
              <w14:schemeClr w14:val="tx1"/>
            </w14:solidFill>
          </w14:textFill>
        </w:rPr>
        <w:t>的</w:t>
      </w:r>
      <w:r>
        <w:rPr>
          <w:rFonts w:hint="eastAsia" w:cs="Arial"/>
          <w:color w:val="000000" w:themeColor="text1"/>
          <w:szCs w:val="24"/>
          <w14:textFill>
            <w14:solidFill>
              <w14:schemeClr w14:val="tx1"/>
            </w14:solidFill>
          </w14:textFill>
        </w:rPr>
        <w:t>投标报价</w:t>
      </w:r>
      <w:r>
        <w:rPr>
          <w:rFonts w:cs="Arial"/>
          <w:color w:val="000000" w:themeColor="text1"/>
          <w:szCs w:val="24"/>
          <w14:textFill>
            <w14:solidFill>
              <w14:schemeClr w14:val="tx1"/>
            </w14:solidFill>
          </w14:textFill>
        </w:rPr>
        <w:t>为</w:t>
      </w:r>
      <w:r>
        <w:rPr>
          <w:rFonts w:hint="eastAsia" w:cs="Arial"/>
          <w:color w:val="000000" w:themeColor="text1"/>
          <w:szCs w:val="24"/>
          <w14:textFill>
            <w14:solidFill>
              <w14:schemeClr w14:val="tx1"/>
            </w14:solidFill>
          </w14:textFill>
        </w:rPr>
        <w:t xml:space="preserve">                   </w:t>
      </w:r>
      <w:r>
        <w:rPr>
          <w:rFonts w:cs="Arial"/>
          <w:color w:val="000000" w:themeColor="text1"/>
          <w:szCs w:val="24"/>
          <w14:textFill>
            <w14:solidFill>
              <w14:schemeClr w14:val="tx1"/>
            </w14:solidFill>
          </w14:textFill>
        </w:rPr>
        <w:t>。</w:t>
      </w:r>
    </w:p>
    <w:p w14:paraId="5617F9D3">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我方</w:t>
      </w:r>
      <w:r>
        <w:rPr>
          <w:rFonts w:cs="Arial"/>
          <w:color w:val="000000" w:themeColor="text1"/>
          <w:szCs w:val="24"/>
          <w14:textFill>
            <w14:solidFill>
              <w14:schemeClr w14:val="tx1"/>
            </w14:solidFill>
          </w14:textFill>
        </w:rPr>
        <w:t>将按招标文件的规定履行合同责任和义务。</w:t>
      </w:r>
    </w:p>
    <w:p w14:paraId="16F9CA93">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我方</w:t>
      </w:r>
      <w:r>
        <w:rPr>
          <w:rFonts w:cs="Arial"/>
          <w:color w:val="000000" w:themeColor="text1"/>
          <w:szCs w:val="24"/>
          <w14:textFill>
            <w14:solidFill>
              <w14:schemeClr w14:val="tx1"/>
            </w14:solidFill>
          </w14:textFill>
        </w:rPr>
        <w:t>已详细审查全部招标文件，包括第</w:t>
      </w:r>
      <w:r>
        <w:rPr>
          <w:rFonts w:cs="Arial"/>
          <w:i/>
          <w:color w:val="000000" w:themeColor="text1"/>
          <w:szCs w:val="24"/>
          <w:u w:val="single"/>
          <w14:textFill>
            <w14:solidFill>
              <w14:schemeClr w14:val="tx1"/>
            </w14:solidFill>
          </w14:textFill>
        </w:rPr>
        <w:t>（编号、补遗书）（如果有的话）</w:t>
      </w:r>
      <w:r>
        <w:rPr>
          <w:rFonts w:cs="Arial"/>
          <w:color w:val="000000" w:themeColor="text1"/>
          <w:szCs w:val="24"/>
          <w14:textFill>
            <w14:solidFill>
              <w14:schemeClr w14:val="tx1"/>
            </w14:solidFill>
          </w14:textFill>
        </w:rPr>
        <w:t>。我</w:t>
      </w:r>
      <w:r>
        <w:rPr>
          <w:rFonts w:hint="eastAsia" w:cs="Arial"/>
          <w:color w:val="000000" w:themeColor="text1"/>
          <w:szCs w:val="24"/>
          <w14:textFill>
            <w14:solidFill>
              <w14:schemeClr w14:val="tx1"/>
            </w14:solidFill>
          </w14:textFill>
        </w:rPr>
        <w:t>方</w:t>
      </w:r>
      <w:r>
        <w:rPr>
          <w:rFonts w:cs="Arial"/>
          <w:color w:val="000000" w:themeColor="text1"/>
          <w:szCs w:val="24"/>
          <w14:textFill>
            <w14:solidFill>
              <w14:schemeClr w14:val="tx1"/>
            </w14:solidFill>
          </w14:textFill>
        </w:rPr>
        <w:t>完全理解并同意放弃对这方面有不明及误解的权力。</w:t>
      </w:r>
    </w:p>
    <w:p w14:paraId="49802728">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投标/响应有效期为自提交投标/响应文件的截止之日起</w:t>
      </w:r>
      <w:r>
        <w:rPr>
          <w:rFonts w:hint="eastAsia" w:cs="Arial"/>
          <w:i/>
          <w:color w:val="000000" w:themeColor="text1"/>
          <w:szCs w:val="24"/>
          <w:u w:val="single"/>
          <w14:textFill>
            <w14:solidFill>
              <w14:schemeClr w14:val="tx1"/>
            </w14:solidFill>
          </w14:textFill>
        </w:rPr>
        <w:t xml:space="preserve"> （由投标人填写）</w:t>
      </w:r>
      <w:r>
        <w:rPr>
          <w:rFonts w:cs="Arial"/>
          <w:color w:val="000000" w:themeColor="text1"/>
          <w:szCs w:val="24"/>
          <w14:textFill>
            <w14:solidFill>
              <w14:schemeClr w14:val="tx1"/>
            </w14:solidFill>
          </w14:textFill>
        </w:rPr>
        <w:t>个日历天。</w:t>
      </w:r>
    </w:p>
    <w:p w14:paraId="1573F3A7">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我方</w:t>
      </w:r>
      <w:r>
        <w:rPr>
          <w:rFonts w:cs="Arial"/>
          <w:color w:val="000000" w:themeColor="text1"/>
          <w:szCs w:val="24"/>
          <w14:textFill>
            <w14:solidFill>
              <w14:schemeClr w14:val="tx1"/>
            </w14:solidFill>
          </w14:textFill>
        </w:rPr>
        <w:t>同意提供按照贵方</w:t>
      </w:r>
      <w:r>
        <w:rPr>
          <w:rFonts w:hint="eastAsia" w:cs="Arial"/>
          <w:color w:val="000000" w:themeColor="text1"/>
          <w:szCs w:val="24"/>
          <w14:textFill>
            <w14:solidFill>
              <w14:schemeClr w14:val="tx1"/>
            </w14:solidFill>
          </w14:textFill>
        </w:rPr>
        <w:t>投标文件</w:t>
      </w:r>
      <w:r>
        <w:rPr>
          <w:rFonts w:cs="Arial"/>
          <w:color w:val="000000" w:themeColor="text1"/>
          <w:szCs w:val="24"/>
          <w14:textFill>
            <w14:solidFill>
              <w14:schemeClr w14:val="tx1"/>
            </w14:solidFill>
          </w14:textFill>
        </w:rPr>
        <w:t>要求的与其投标有关的一切数据或资料，</w:t>
      </w:r>
      <w:r>
        <w:rPr>
          <w:rFonts w:hint="eastAsia" w:cs="Arial"/>
          <w:color w:val="000000" w:themeColor="text1"/>
          <w:szCs w:val="24"/>
          <w14:textFill>
            <w14:solidFill>
              <w14:schemeClr w14:val="tx1"/>
            </w14:solidFill>
          </w14:textFill>
        </w:rPr>
        <w:t>采用综合评分法时，我方</w:t>
      </w:r>
      <w:r>
        <w:rPr>
          <w:rFonts w:cs="Arial"/>
          <w:color w:val="000000" w:themeColor="text1"/>
          <w:szCs w:val="24"/>
          <w14:textFill>
            <w14:solidFill>
              <w14:schemeClr w14:val="tx1"/>
            </w14:solidFill>
          </w14:textFill>
        </w:rPr>
        <w:t>完全理解贵方不一定接受最低价的投标。</w:t>
      </w:r>
    </w:p>
    <w:p w14:paraId="00A63A12">
      <w:pPr>
        <w:numPr>
          <w:ilvl w:val="0"/>
          <w:numId w:val="27"/>
        </w:numPr>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本项目如由中标人支付采购代理服务费，我方同意按投标人须知前附表中规定向采购代理机构支付采购代理服务费。</w:t>
      </w:r>
    </w:p>
    <w:p w14:paraId="36D86FE9">
      <w:pPr>
        <w:numPr>
          <w:ilvl w:val="0"/>
          <w:numId w:val="27"/>
        </w:numPr>
        <w:snapToGrid w:val="0"/>
        <w:spacing w:line="324" w:lineRule="auto"/>
        <w:ind w:left="0"/>
        <w:jc w:val="both"/>
        <w:rPr>
          <w:rFonts w:hint="eastAsia" w:cs="Arial"/>
          <w:color w:val="000000" w:themeColor="text1"/>
          <w:szCs w:val="24"/>
          <w14:textFill>
            <w14:solidFill>
              <w14:schemeClr w14:val="tx1"/>
            </w14:solidFill>
          </w14:textFill>
        </w:rPr>
      </w:pPr>
      <w:r>
        <w:rPr>
          <w:rFonts w:hint="eastAsia" w:cs="Arial"/>
          <w:color w:val="000000" w:themeColor="text1"/>
          <w:szCs w:val="24"/>
          <w14:textFill>
            <w14:solidFill>
              <w14:schemeClr w14:val="tx1"/>
            </w14:solidFill>
          </w14:textFill>
        </w:rPr>
        <w:t>重要声明：</w:t>
      </w:r>
    </w:p>
    <w:p w14:paraId="57FC49A6">
      <w:pPr>
        <w:snapToGrid w:val="0"/>
        <w:spacing w:line="324" w:lineRule="auto"/>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1）与我方单位负责人为同一人的其他单位名称：</w:t>
      </w:r>
    </w:p>
    <w:p w14:paraId="368FAC0D">
      <w:pPr>
        <w:snapToGrid w:val="0"/>
        <w:spacing w:line="324" w:lineRule="auto"/>
        <w:ind w:left="456" w:leftChars="190" w:firstLine="355" w:firstLineChars="148"/>
        <w:rPr>
          <w:rFonts w:hint="eastAsia"/>
          <w:color w:val="000000" w:themeColor="text1"/>
          <w:szCs w:val="24"/>
          <w14:textFill>
            <w14:solidFill>
              <w14:schemeClr w14:val="tx1"/>
            </w14:solidFill>
          </w14:textFill>
        </w:rPr>
      </w:pPr>
      <w:r>
        <w:rPr>
          <w:rFonts w:hint="eastAsia" w:cs="Arial"/>
          <w:color w:val="000000" w:themeColor="text1"/>
          <w:szCs w:val="24"/>
          <w:bdr w:val="single" w:color="auto" w:sz="4" w:space="0"/>
          <w14:textFill>
            <w14:solidFill>
              <w14:schemeClr w14:val="tx1"/>
            </w14:solidFill>
          </w14:textFill>
        </w:rPr>
        <w:t>√</w:t>
      </w:r>
      <w:r>
        <w:rPr>
          <w:rFonts w:hint="eastAsia"/>
          <w:color w:val="000000" w:themeColor="text1"/>
          <w:szCs w:val="24"/>
          <w14:textFill>
            <w14:solidFill>
              <w14:schemeClr w14:val="tx1"/>
            </w14:solidFill>
          </w14:textFill>
        </w:rPr>
        <w:t>无；□有，具体单位名称为：</w:t>
      </w:r>
      <w:r>
        <w:rPr>
          <w:rFonts w:hint="eastAsia" w:cs="Arial"/>
          <w:i/>
          <w:color w:val="000000" w:themeColor="text1"/>
          <w:szCs w:val="24"/>
          <w:u w:val="single"/>
          <w14:textFill>
            <w14:solidFill>
              <w14:schemeClr w14:val="tx1"/>
            </w14:solidFill>
          </w14:textFill>
        </w:rPr>
        <w:t>（由投标人如实填写）</w:t>
      </w:r>
      <w:r>
        <w:rPr>
          <w:rFonts w:hint="eastAsia"/>
          <w:color w:val="000000" w:themeColor="text1"/>
          <w:szCs w:val="24"/>
          <w14:textFill>
            <w14:solidFill>
              <w14:schemeClr w14:val="tx1"/>
            </w14:solidFill>
          </w14:textFill>
        </w:rPr>
        <w:t>。</w:t>
      </w:r>
    </w:p>
    <w:p w14:paraId="0E4534E4">
      <w:pPr>
        <w:snapToGrid w:val="0"/>
        <w:spacing w:line="324" w:lineRule="auto"/>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2）与我方存在控股、管理关系的其他单位的名称：</w:t>
      </w:r>
    </w:p>
    <w:p w14:paraId="5014B44A">
      <w:pPr>
        <w:snapToGrid w:val="0"/>
        <w:spacing w:line="324" w:lineRule="auto"/>
        <w:ind w:left="456" w:leftChars="190" w:firstLine="355" w:firstLineChars="148"/>
        <w:rPr>
          <w:rFonts w:hint="eastAsia"/>
          <w:color w:val="000000" w:themeColor="text1"/>
          <w:szCs w:val="24"/>
          <w14:textFill>
            <w14:solidFill>
              <w14:schemeClr w14:val="tx1"/>
            </w14:solidFill>
          </w14:textFill>
        </w:rPr>
      </w:pPr>
      <w:r>
        <w:rPr>
          <w:rFonts w:hint="eastAsia" w:cs="Arial"/>
          <w:color w:val="000000" w:themeColor="text1"/>
          <w:szCs w:val="24"/>
          <w:bdr w:val="single" w:color="auto" w:sz="4" w:space="0"/>
          <w14:textFill>
            <w14:solidFill>
              <w14:schemeClr w14:val="tx1"/>
            </w14:solidFill>
          </w14:textFill>
        </w:rPr>
        <w:t>√</w:t>
      </w:r>
      <w:r>
        <w:rPr>
          <w:rFonts w:hint="eastAsia"/>
          <w:color w:val="000000" w:themeColor="text1"/>
          <w:szCs w:val="24"/>
          <w14:textFill>
            <w14:solidFill>
              <w14:schemeClr w14:val="tx1"/>
            </w14:solidFill>
          </w14:textFill>
        </w:rPr>
        <w:t xml:space="preserve">无；□有，具体单位名称为： </w:t>
      </w:r>
      <w:r>
        <w:rPr>
          <w:rFonts w:hint="eastAsia" w:cs="Arial"/>
          <w:i/>
          <w:color w:val="000000" w:themeColor="text1"/>
          <w:szCs w:val="24"/>
          <w:u w:val="single"/>
          <w14:textFill>
            <w14:solidFill>
              <w14:schemeClr w14:val="tx1"/>
            </w14:solidFill>
          </w14:textFill>
        </w:rPr>
        <w:t>（由投标人如实填写）</w:t>
      </w:r>
      <w:r>
        <w:rPr>
          <w:rFonts w:hint="eastAsia"/>
          <w:color w:val="000000" w:themeColor="text1"/>
          <w:szCs w:val="24"/>
          <w14:textFill>
            <w14:solidFill>
              <w14:schemeClr w14:val="tx1"/>
            </w14:solidFill>
          </w14:textFill>
        </w:rPr>
        <w:t>。</w:t>
      </w:r>
    </w:p>
    <w:p w14:paraId="34488954">
      <w:pPr>
        <w:snapToGrid w:val="0"/>
        <w:spacing w:line="324" w:lineRule="auto"/>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3）参与本项目采购活动前，是否为本项目前期准备提供过整体设计、规范编制或者项目管理、监理、检测等服务：</w:t>
      </w:r>
    </w:p>
    <w:p w14:paraId="7C03CEE7">
      <w:pPr>
        <w:snapToGrid w:val="0"/>
        <w:spacing w:line="324" w:lineRule="auto"/>
        <w:ind w:left="456" w:leftChars="190" w:firstLine="355" w:firstLineChars="148"/>
        <w:rPr>
          <w:rFonts w:hint="eastAsia"/>
          <w:color w:val="000000" w:themeColor="text1"/>
          <w:szCs w:val="24"/>
          <w14:textFill>
            <w14:solidFill>
              <w14:schemeClr w14:val="tx1"/>
            </w14:solidFill>
          </w14:textFill>
        </w:rPr>
      </w:pPr>
      <w:r>
        <w:rPr>
          <w:rFonts w:hint="eastAsia" w:cs="Arial"/>
          <w:color w:val="000000" w:themeColor="text1"/>
          <w:szCs w:val="24"/>
          <w:bdr w:val="single" w:color="auto" w:sz="4" w:space="0"/>
          <w14:textFill>
            <w14:solidFill>
              <w14:schemeClr w14:val="tx1"/>
            </w14:solidFill>
          </w14:textFill>
        </w:rPr>
        <w:t>√</w:t>
      </w:r>
      <w:r>
        <w:rPr>
          <w:rFonts w:hint="eastAsia"/>
          <w:color w:val="000000" w:themeColor="text1"/>
          <w:szCs w:val="24"/>
          <w14:textFill>
            <w14:solidFill>
              <w14:schemeClr w14:val="tx1"/>
            </w14:solidFill>
          </w14:textFill>
        </w:rPr>
        <w:t xml:space="preserve">无；□有，已提供的具体服务内容为： </w:t>
      </w:r>
      <w:r>
        <w:rPr>
          <w:rFonts w:hint="eastAsia" w:cs="Arial"/>
          <w:i/>
          <w:color w:val="000000" w:themeColor="text1"/>
          <w:szCs w:val="24"/>
          <w:u w:val="single"/>
          <w14:textFill>
            <w14:solidFill>
              <w14:schemeClr w14:val="tx1"/>
            </w14:solidFill>
          </w14:textFill>
        </w:rPr>
        <w:t>（由投标人如实填写）</w:t>
      </w:r>
      <w:r>
        <w:rPr>
          <w:rFonts w:hint="eastAsia"/>
          <w:color w:val="000000" w:themeColor="text1"/>
          <w:szCs w:val="24"/>
          <w14:textFill>
            <w14:solidFill>
              <w14:schemeClr w14:val="tx1"/>
            </w14:solidFill>
          </w14:textFill>
        </w:rPr>
        <w:t>。</w:t>
      </w:r>
    </w:p>
    <w:p w14:paraId="2A9A900B">
      <w:pPr>
        <w:spacing w:line="324" w:lineRule="auto"/>
        <w:ind w:left="720" w:leftChars="3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（备注：以上</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项声明，必须如实选择，选中项用</w:t>
      </w:r>
      <w:r>
        <w:rPr>
          <w:rFonts w:hint="eastAsia"/>
          <w:color w:val="000000" w:themeColor="text1"/>
          <w:szCs w:val="24"/>
          <w:bdr w:val="single" w:color="auto" w:sz="4" w:space="0"/>
          <w14:textFill>
            <w14:solidFill>
              <w14:schemeClr w14:val="tx1"/>
            </w14:solidFill>
          </w14:textFill>
        </w:rPr>
        <w:t>√</w:t>
      </w:r>
      <w:r>
        <w:rPr>
          <w:rFonts w:hint="eastAsia"/>
          <w:color w:val="000000" w:themeColor="text1"/>
          <w:szCs w:val="24"/>
          <w14:textFill>
            <w14:solidFill>
              <w14:schemeClr w14:val="tx1"/>
            </w14:solidFill>
          </w14:textFill>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0A374E2">
      <w:pPr>
        <w:snapToGrid w:val="0"/>
        <w:spacing w:line="324" w:lineRule="auto"/>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4）我方在本投标文件中所提供的全部资料均真实有效，我方承诺对其真实性负责并承担相应后果。</w:t>
      </w:r>
    </w:p>
    <w:p w14:paraId="5F4D5696">
      <w:pPr>
        <w:snapToGrid w:val="0"/>
        <w:spacing w:line="324" w:lineRule="auto"/>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5）</w:t>
      </w:r>
      <w:bookmarkStart w:id="427" w:name="_Hlk161604053"/>
      <w:r>
        <w:rPr>
          <w:rFonts w:hint="eastAsia"/>
          <w:color w:val="000000" w:themeColor="text1"/>
          <w:szCs w:val="24"/>
          <w14:textFill>
            <w14:solidFill>
              <w14:schemeClr w14:val="tx1"/>
            </w14:solidFill>
          </w14:textFill>
        </w:rPr>
        <w:t>我方承诺本《投标函》的签章对本投标文件全部内容具有约束力并承担法律责任。</w:t>
      </w:r>
      <w:bookmarkEnd w:id="427"/>
    </w:p>
    <w:p w14:paraId="6F63F8E0">
      <w:pPr>
        <w:spacing w:line="300" w:lineRule="auto"/>
        <w:rPr>
          <w:rFonts w:hint="eastAsia" w:cs="Arial"/>
          <w:color w:val="000000" w:themeColor="text1"/>
          <w:szCs w:val="24"/>
          <w14:textFill>
            <w14:solidFill>
              <w14:schemeClr w14:val="tx1"/>
            </w14:solidFill>
          </w14:textFill>
        </w:rPr>
      </w:pPr>
    </w:p>
    <w:p w14:paraId="50AC7DF0">
      <w:pPr>
        <w:spacing w:line="300" w:lineRule="auto"/>
        <w:rPr>
          <w:rFonts w:hint="eastAsia" w:cs="Arial"/>
          <w:color w:val="000000" w:themeColor="text1"/>
          <w:szCs w:val="24"/>
          <w14:textFill>
            <w14:solidFill>
              <w14:schemeClr w14:val="tx1"/>
            </w14:solidFill>
          </w14:textFill>
        </w:rPr>
      </w:pPr>
    </w:p>
    <w:p w14:paraId="0794A3B3">
      <w:pPr>
        <w:spacing w:line="300" w:lineRule="auto"/>
        <w:rPr>
          <w:rFonts w:hint="eastAsia" w:cs="Arial"/>
          <w:color w:val="000000" w:themeColor="text1"/>
          <w:szCs w:val="24"/>
          <w14:textFill>
            <w14:solidFill>
              <w14:schemeClr w14:val="tx1"/>
            </w14:solidFill>
          </w14:textFill>
        </w:rPr>
      </w:pPr>
    </w:p>
    <w:p w14:paraId="35A31E1A">
      <w:pPr>
        <w:autoSpaceDE w:val="0"/>
        <w:autoSpaceDN w:val="0"/>
        <w:adjustRightInd w:val="0"/>
        <w:snapToGrid w:val="0"/>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投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标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人：（公章）</w:t>
      </w:r>
    </w:p>
    <w:p w14:paraId="75DE9BCA">
      <w:pPr>
        <w:autoSpaceDE w:val="0"/>
        <w:autoSpaceDN w:val="0"/>
        <w:adjustRightInd w:val="0"/>
        <w:snapToGrid w:val="0"/>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通  讯  地  址：</w:t>
      </w:r>
    </w:p>
    <w:p w14:paraId="4E29DC85">
      <w:pPr>
        <w:autoSpaceDE w:val="0"/>
        <w:autoSpaceDN w:val="0"/>
        <w:adjustRightInd w:val="0"/>
        <w:snapToGrid w:val="0"/>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传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真：</w:t>
      </w:r>
    </w:p>
    <w:p w14:paraId="1AB81D8E">
      <w:pPr>
        <w:autoSpaceDE w:val="0"/>
        <w:autoSpaceDN w:val="0"/>
        <w:adjustRightInd w:val="0"/>
        <w:snapToGrid w:val="0"/>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电          话：</w:t>
      </w:r>
    </w:p>
    <w:p w14:paraId="7871F7A6">
      <w:pPr>
        <w:autoSpaceDE w:val="0"/>
        <w:autoSpaceDN w:val="0"/>
        <w:adjustRightInd w:val="0"/>
        <w:snapToGrid w:val="0"/>
        <w:ind w:firstLine="480" w:firstLineChars="200"/>
        <w:rPr>
          <w:rFonts w:hint="eastAsia"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 xml:space="preserve">授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权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代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表：</w:t>
      </w:r>
    </w:p>
    <w:p w14:paraId="3215330B">
      <w:pPr>
        <w:ind w:firstLine="480" w:firstLineChars="200"/>
        <w:rPr>
          <w:rFonts w:hint="eastAsia" w:cs="Arial"/>
          <w:color w:val="000000" w:themeColor="text1"/>
          <w:szCs w:val="24"/>
          <w14:textFill>
            <w14:solidFill>
              <w14:schemeClr w14:val="tx1"/>
            </w14:solidFill>
          </w14:textFill>
        </w:rPr>
      </w:pPr>
      <w:r>
        <w:rPr>
          <w:rFonts w:hint="eastAsia" w:cs="宋体"/>
          <w:color w:val="000000" w:themeColor="text1"/>
          <w14:textFill>
            <w14:solidFill>
              <w14:schemeClr w14:val="tx1"/>
            </w14:solidFill>
          </w14:textFill>
        </w:rPr>
        <w:t xml:space="preserve">日     </w:t>
      </w:r>
      <w:r>
        <w:rPr>
          <w:rFonts w:cs="宋体"/>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 xml:space="preserve">    期：</w:t>
      </w:r>
    </w:p>
    <w:p w14:paraId="108300B9">
      <w:pPr>
        <w:rPr>
          <w:rFonts w:hint="eastAsia" w:cs="Arial"/>
          <w:color w:val="000000" w:themeColor="text1"/>
          <w:szCs w:val="24"/>
          <w:u w:val="single"/>
          <w14:textFill>
            <w14:solidFill>
              <w14:schemeClr w14:val="tx1"/>
            </w14:solidFill>
          </w14:textFill>
        </w:rPr>
      </w:pPr>
    </w:p>
    <w:p w14:paraId="320221E8">
      <w:pPr>
        <w:rPr>
          <w:rFonts w:hint="eastAsia" w:cs="Arial"/>
          <w:color w:val="000000" w:themeColor="text1"/>
          <w:szCs w:val="24"/>
          <w:u w:val="single"/>
          <w14:textFill>
            <w14:solidFill>
              <w14:schemeClr w14:val="tx1"/>
            </w14:solidFill>
          </w14:textFill>
        </w:rPr>
      </w:pPr>
      <w:r>
        <w:rPr>
          <w:rFonts w:cs="Arial"/>
          <w:color w:val="000000" w:themeColor="text1"/>
          <w:szCs w:val="24"/>
          <w:u w:val="single"/>
          <w14:textFill>
            <w14:solidFill>
              <w14:schemeClr w14:val="tx1"/>
            </w14:solidFill>
          </w14:textFill>
        </w:rPr>
        <w:br w:type="page"/>
      </w:r>
    </w:p>
    <w:p w14:paraId="31D6A4D2">
      <w:pPr>
        <w:pStyle w:val="5"/>
        <w:numPr>
          <w:ilvl w:val="0"/>
          <w:numId w:val="25"/>
        </w:numPr>
        <w:spacing w:before="0" w:after="0"/>
        <w:ind w:left="0"/>
        <w:rPr>
          <w:rFonts w:hint="eastAsia"/>
          <w:color w:val="000000" w:themeColor="text1"/>
          <w14:textFill>
            <w14:solidFill>
              <w14:schemeClr w14:val="tx1"/>
            </w14:solidFill>
          </w14:textFill>
        </w:rPr>
      </w:pPr>
      <w:bookmarkStart w:id="428" w:name="_Toc432367429"/>
      <w:bookmarkStart w:id="429" w:name="_Toc109900328"/>
      <w:bookmarkStart w:id="430" w:name="_Toc1875"/>
      <w:bookmarkStart w:id="431" w:name="_Toc140132832"/>
      <w:bookmarkStart w:id="432" w:name="_Toc109899490"/>
      <w:bookmarkStart w:id="433" w:name="_Toc12306"/>
      <w:bookmarkStart w:id="434" w:name="_Toc109899909"/>
      <w:bookmarkStart w:id="435" w:name="_Toc430813349"/>
      <w:bookmarkStart w:id="436" w:name="_Toc155185922"/>
      <w:r>
        <w:rPr>
          <w:rFonts w:hint="eastAsia"/>
          <w:color w:val="000000" w:themeColor="text1"/>
          <w14:textFill>
            <w14:solidFill>
              <w14:schemeClr w14:val="tx1"/>
            </w14:solidFill>
          </w14:textFill>
        </w:rPr>
        <w:t>开标一览表</w:t>
      </w:r>
      <w:bookmarkEnd w:id="428"/>
      <w:bookmarkEnd w:id="429"/>
      <w:bookmarkEnd w:id="430"/>
      <w:bookmarkEnd w:id="431"/>
      <w:bookmarkEnd w:id="432"/>
      <w:bookmarkEnd w:id="433"/>
      <w:bookmarkEnd w:id="434"/>
      <w:bookmarkEnd w:id="435"/>
      <w:bookmarkEnd w:id="436"/>
    </w:p>
    <w:p w14:paraId="0A5E64C5">
      <w:pPr>
        <w:spacing w:line="300" w:lineRule="auto"/>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【适用于货物】</w:t>
      </w:r>
    </w:p>
    <w:p w14:paraId="6E7C6CBA">
      <w:pPr>
        <w:rPr>
          <w:rFonts w:hint="eastAsia"/>
          <w:b/>
          <w:color w:val="000000" w:themeColor="text1"/>
          <w:szCs w:val="21"/>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项目名称：</w:t>
      </w:r>
      <w:r>
        <w:rPr>
          <w:rFonts w:hint="eastAsia"/>
          <w:b/>
          <w:color w:val="000000" w:themeColor="text1"/>
          <w:szCs w:val="21"/>
          <w:u w:val="single"/>
          <w:lang w:val="zh-CN"/>
          <w14:textFill>
            <w14:solidFill>
              <w14:schemeClr w14:val="tx1"/>
            </w14:solidFill>
          </w14:textFill>
        </w:rPr>
        <w:t xml:space="preserve">                     </w:t>
      </w:r>
    </w:p>
    <w:p w14:paraId="1DF1A7A6">
      <w:pPr>
        <w:rPr>
          <w:rFonts w:hint="eastAsia"/>
          <w:b/>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color w:val="000000" w:themeColor="text1"/>
          <w:szCs w:val="21"/>
          <w:u w:val="single"/>
          <w:lang w:val="zh-CN"/>
          <w14:textFill>
            <w14:solidFill>
              <w14:schemeClr w14:val="tx1"/>
            </w14:solidFill>
          </w14:textFill>
        </w:rPr>
        <w:t xml:space="preserve">                     </w:t>
      </w:r>
      <w:r>
        <w:rPr>
          <w:rFonts w:hint="eastAsia"/>
          <w:b/>
          <w:color w:val="000000" w:themeColor="text1"/>
          <w:szCs w:val="21"/>
          <w:lang w:val="zh-CN"/>
          <w14:textFill>
            <w14:solidFill>
              <w14:schemeClr w14:val="tx1"/>
            </w14:solidFill>
          </w14:textFill>
        </w:rPr>
        <w:t xml:space="preserve">     </w:t>
      </w:r>
      <w:r>
        <w:rPr>
          <w:rFonts w:hint="eastAsia"/>
          <w:b/>
          <w:bCs/>
          <w:color w:val="000000" w:themeColor="text1"/>
          <w:szCs w:val="21"/>
          <w:lang w:val="zh-CN"/>
          <w14:textFill>
            <w14:solidFill>
              <w14:schemeClr w14:val="tx1"/>
            </w14:solidFill>
          </w14:textFill>
        </w:rPr>
        <w:t xml:space="preserve">  所投包号：</w:t>
      </w:r>
      <w:r>
        <w:rPr>
          <w:rFonts w:hint="eastAsia"/>
          <w:b/>
          <w:bCs/>
          <w:color w:val="000000" w:themeColor="text1"/>
          <w:szCs w:val="21"/>
          <w:u w:val="single"/>
          <w:lang w:val="zh-CN"/>
          <w14:textFill>
            <w14:solidFill>
              <w14:schemeClr w14:val="tx1"/>
            </w14:solidFill>
          </w14:textFill>
        </w:rPr>
        <w:t xml:space="preserve">           </w:t>
      </w: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65A5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161A6F3">
            <w:pPr>
              <w:widowControl/>
              <w:autoSpaceDE w:val="0"/>
              <w:autoSpaceDN w:val="0"/>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352" w:type="dxa"/>
            <w:vAlign w:val="center"/>
          </w:tcPr>
          <w:p w14:paraId="229127E3">
            <w:pPr>
              <w:widowControl/>
              <w:autoSpaceDE w:val="0"/>
              <w:autoSpaceDN w:val="0"/>
              <w:ind w:hanging="851"/>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w:t>
            </w:r>
          </w:p>
        </w:tc>
        <w:tc>
          <w:tcPr>
            <w:tcW w:w="2161" w:type="dxa"/>
            <w:vAlign w:val="center"/>
          </w:tcPr>
          <w:p w14:paraId="4A50B7B5">
            <w:pPr>
              <w:widowControl/>
              <w:autoSpaceDE w:val="0"/>
              <w:autoSpaceDN w:val="0"/>
              <w:ind w:hanging="851"/>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交货期限</w:t>
            </w:r>
          </w:p>
        </w:tc>
        <w:tc>
          <w:tcPr>
            <w:tcW w:w="2611" w:type="dxa"/>
            <w:vAlign w:val="center"/>
          </w:tcPr>
          <w:p w14:paraId="3DD96265">
            <w:pPr>
              <w:widowControl/>
              <w:autoSpaceDE w:val="0"/>
              <w:autoSpaceDN w:val="0"/>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备注（如有）</w:t>
            </w:r>
          </w:p>
        </w:tc>
      </w:tr>
      <w:tr w14:paraId="5057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BAA8B75">
            <w:pPr>
              <w:jc w:val="center"/>
              <w:rPr>
                <w:rFonts w:hint="eastAsia"/>
                <w:color w:val="000000" w:themeColor="text1"/>
                <w:sz w:val="28"/>
                <w14:textFill>
                  <w14:solidFill>
                    <w14:schemeClr w14:val="tx1"/>
                  </w14:solidFill>
                </w14:textFill>
              </w:rPr>
            </w:pPr>
          </w:p>
        </w:tc>
        <w:tc>
          <w:tcPr>
            <w:tcW w:w="2352" w:type="dxa"/>
            <w:vAlign w:val="center"/>
          </w:tcPr>
          <w:p w14:paraId="248FBE92">
            <w:pPr>
              <w:jc w:val="center"/>
              <w:rPr>
                <w:rFonts w:hint="eastAsia"/>
                <w:color w:val="000000" w:themeColor="text1"/>
                <w:sz w:val="28"/>
                <w14:textFill>
                  <w14:solidFill>
                    <w14:schemeClr w14:val="tx1"/>
                  </w14:solidFill>
                </w14:textFill>
              </w:rPr>
            </w:pPr>
          </w:p>
        </w:tc>
        <w:tc>
          <w:tcPr>
            <w:tcW w:w="2161" w:type="dxa"/>
            <w:vAlign w:val="center"/>
          </w:tcPr>
          <w:p w14:paraId="14C1AA14">
            <w:pPr>
              <w:jc w:val="center"/>
              <w:rPr>
                <w:rFonts w:hint="eastAsia"/>
                <w:color w:val="000000" w:themeColor="text1"/>
                <w:sz w:val="28"/>
                <w14:textFill>
                  <w14:solidFill>
                    <w14:schemeClr w14:val="tx1"/>
                  </w14:solidFill>
                </w14:textFill>
              </w:rPr>
            </w:pPr>
          </w:p>
        </w:tc>
        <w:tc>
          <w:tcPr>
            <w:tcW w:w="2611" w:type="dxa"/>
            <w:vAlign w:val="center"/>
          </w:tcPr>
          <w:p w14:paraId="3413ABFD">
            <w:pPr>
              <w:jc w:val="center"/>
              <w:rPr>
                <w:rFonts w:hint="eastAsia"/>
                <w:color w:val="000000" w:themeColor="text1"/>
                <w:sz w:val="28"/>
                <w14:textFill>
                  <w14:solidFill>
                    <w14:schemeClr w14:val="tx1"/>
                  </w14:solidFill>
                </w14:textFill>
              </w:rPr>
            </w:pPr>
          </w:p>
        </w:tc>
      </w:tr>
    </w:tbl>
    <w:p w14:paraId="5B5BF9B4">
      <w:pPr>
        <w:spacing w:line="300" w:lineRule="auto"/>
        <w:rPr>
          <w:rFonts w:ascii="Arial" w:hAnsi="Arial" w:cs="Arial"/>
          <w:color w:val="000000" w:themeColor="text1"/>
          <w:szCs w:val="21"/>
          <w:u w:val="single"/>
          <w14:textFill>
            <w14:solidFill>
              <w14:schemeClr w14:val="tx1"/>
            </w14:solidFill>
          </w14:textFill>
        </w:rPr>
      </w:pPr>
    </w:p>
    <w:p w14:paraId="359CCEC2">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46023A08">
      <w:pPr>
        <w:spacing w:line="30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2E27F693">
      <w:pPr>
        <w:rPr>
          <w:rFonts w:hint="eastAsia" w:cs="Arial"/>
          <w:color w:val="000000" w:themeColor="text1"/>
          <w:szCs w:val="24"/>
          <w14:textFill>
            <w14:solidFill>
              <w14:schemeClr w14:val="tx1"/>
            </w14:solidFill>
          </w14:textFill>
        </w:rPr>
        <w:sectPr>
          <w:pgSz w:w="11906" w:h="16838"/>
          <w:pgMar w:top="1440" w:right="1440" w:bottom="1440" w:left="1440" w:header="851" w:footer="850" w:gutter="0"/>
          <w:cols w:space="720" w:num="1"/>
        </w:sectPr>
      </w:pPr>
    </w:p>
    <w:p w14:paraId="49A9DC98">
      <w:pPr>
        <w:spacing w:line="300" w:lineRule="auto"/>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【适用于服务】</w:t>
      </w:r>
    </w:p>
    <w:p w14:paraId="1D52B83B">
      <w:pPr>
        <w:rPr>
          <w:rFonts w:hint="eastAsia"/>
          <w:b/>
          <w:color w:val="000000" w:themeColor="text1"/>
          <w:szCs w:val="21"/>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项目名称：</w:t>
      </w:r>
      <w:r>
        <w:rPr>
          <w:rFonts w:hint="eastAsia"/>
          <w:b/>
          <w:color w:val="000000" w:themeColor="text1"/>
          <w:szCs w:val="21"/>
          <w:u w:val="single"/>
          <w:lang w:val="zh-CN"/>
          <w14:textFill>
            <w14:solidFill>
              <w14:schemeClr w14:val="tx1"/>
            </w14:solidFill>
          </w14:textFill>
        </w:rPr>
        <w:t xml:space="preserve">                     </w:t>
      </w:r>
    </w:p>
    <w:p w14:paraId="79082A31">
      <w:pPr>
        <w:rPr>
          <w:rFonts w:hint="eastAsia"/>
          <w:b/>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color w:val="000000" w:themeColor="text1"/>
          <w:szCs w:val="21"/>
          <w:u w:val="single"/>
          <w:lang w:val="zh-CN"/>
          <w14:textFill>
            <w14:solidFill>
              <w14:schemeClr w14:val="tx1"/>
            </w14:solidFill>
          </w14:textFill>
        </w:rPr>
        <w:t xml:space="preserve">                     </w:t>
      </w:r>
      <w:r>
        <w:rPr>
          <w:rFonts w:hint="eastAsia"/>
          <w:b/>
          <w:color w:val="000000" w:themeColor="text1"/>
          <w:szCs w:val="21"/>
          <w:lang w:val="zh-CN"/>
          <w14:textFill>
            <w14:solidFill>
              <w14:schemeClr w14:val="tx1"/>
            </w14:solidFill>
          </w14:textFill>
        </w:rPr>
        <w:t xml:space="preserve">     </w:t>
      </w:r>
      <w:r>
        <w:rPr>
          <w:rFonts w:hint="eastAsia"/>
          <w:b/>
          <w:bCs/>
          <w:color w:val="000000" w:themeColor="text1"/>
          <w:szCs w:val="21"/>
          <w:lang w:val="zh-CN"/>
          <w14:textFill>
            <w14:solidFill>
              <w14:schemeClr w14:val="tx1"/>
            </w14:solidFill>
          </w14:textFill>
        </w:rPr>
        <w:t xml:space="preserve">  所投包号：</w:t>
      </w:r>
      <w:r>
        <w:rPr>
          <w:rFonts w:hint="eastAsia"/>
          <w:b/>
          <w:bCs/>
          <w:color w:val="000000" w:themeColor="text1"/>
          <w:szCs w:val="21"/>
          <w:u w:val="single"/>
          <w:lang w:val="zh-CN"/>
          <w14:textFill>
            <w14:solidFill>
              <w14:schemeClr w14:val="tx1"/>
            </w14:solidFill>
          </w14:textFill>
        </w:rPr>
        <w:t xml:space="preserve">           </w:t>
      </w: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4599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946A7A1">
            <w:pPr>
              <w:widowControl/>
              <w:autoSpaceDE w:val="0"/>
              <w:autoSpaceDN w:val="0"/>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352" w:type="dxa"/>
            <w:vAlign w:val="center"/>
          </w:tcPr>
          <w:p w14:paraId="57FC906E">
            <w:pPr>
              <w:widowControl/>
              <w:autoSpaceDE w:val="0"/>
              <w:autoSpaceDN w:val="0"/>
              <w:ind w:hanging="851"/>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w:t>
            </w:r>
          </w:p>
        </w:tc>
        <w:tc>
          <w:tcPr>
            <w:tcW w:w="2161" w:type="dxa"/>
            <w:vAlign w:val="center"/>
          </w:tcPr>
          <w:p w14:paraId="68E5EA4D">
            <w:pPr>
              <w:widowControl/>
              <w:autoSpaceDE w:val="0"/>
              <w:autoSpaceDN w:val="0"/>
              <w:ind w:hanging="851"/>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服务期</w:t>
            </w:r>
          </w:p>
        </w:tc>
        <w:tc>
          <w:tcPr>
            <w:tcW w:w="2611" w:type="dxa"/>
            <w:vAlign w:val="center"/>
          </w:tcPr>
          <w:p w14:paraId="0FE85D90">
            <w:pPr>
              <w:widowControl/>
              <w:autoSpaceDE w:val="0"/>
              <w:autoSpaceDN w:val="0"/>
              <w:jc w:val="center"/>
              <w:textAlignment w:val="bottom"/>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备注（如有）</w:t>
            </w:r>
          </w:p>
        </w:tc>
      </w:tr>
      <w:tr w14:paraId="717A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4B552687">
            <w:pPr>
              <w:jc w:val="center"/>
              <w:rPr>
                <w:rFonts w:hint="eastAsia"/>
                <w:color w:val="000000" w:themeColor="text1"/>
                <w:sz w:val="28"/>
                <w14:textFill>
                  <w14:solidFill>
                    <w14:schemeClr w14:val="tx1"/>
                  </w14:solidFill>
                </w14:textFill>
              </w:rPr>
            </w:pPr>
          </w:p>
        </w:tc>
        <w:tc>
          <w:tcPr>
            <w:tcW w:w="2352" w:type="dxa"/>
            <w:vAlign w:val="center"/>
          </w:tcPr>
          <w:p w14:paraId="324B6BCE">
            <w:pPr>
              <w:jc w:val="center"/>
              <w:rPr>
                <w:rFonts w:hint="eastAsia"/>
                <w:color w:val="000000" w:themeColor="text1"/>
                <w:sz w:val="28"/>
                <w14:textFill>
                  <w14:solidFill>
                    <w14:schemeClr w14:val="tx1"/>
                  </w14:solidFill>
                </w14:textFill>
              </w:rPr>
            </w:pPr>
          </w:p>
        </w:tc>
        <w:tc>
          <w:tcPr>
            <w:tcW w:w="2161" w:type="dxa"/>
            <w:vAlign w:val="center"/>
          </w:tcPr>
          <w:p w14:paraId="4A4BEC38">
            <w:pPr>
              <w:jc w:val="center"/>
              <w:rPr>
                <w:rFonts w:hint="eastAsia"/>
                <w:color w:val="000000" w:themeColor="text1"/>
                <w:sz w:val="28"/>
                <w14:textFill>
                  <w14:solidFill>
                    <w14:schemeClr w14:val="tx1"/>
                  </w14:solidFill>
                </w14:textFill>
              </w:rPr>
            </w:pPr>
          </w:p>
        </w:tc>
        <w:tc>
          <w:tcPr>
            <w:tcW w:w="2611" w:type="dxa"/>
            <w:vAlign w:val="center"/>
          </w:tcPr>
          <w:p w14:paraId="5ADDF5C6">
            <w:pPr>
              <w:jc w:val="center"/>
              <w:rPr>
                <w:rFonts w:hint="eastAsia"/>
                <w:color w:val="000000" w:themeColor="text1"/>
                <w:sz w:val="28"/>
                <w14:textFill>
                  <w14:solidFill>
                    <w14:schemeClr w14:val="tx1"/>
                  </w14:solidFill>
                </w14:textFill>
              </w:rPr>
            </w:pPr>
          </w:p>
        </w:tc>
      </w:tr>
    </w:tbl>
    <w:p w14:paraId="1D5F0281">
      <w:pPr>
        <w:spacing w:line="300" w:lineRule="auto"/>
        <w:rPr>
          <w:rFonts w:ascii="Arial" w:hAnsi="Arial" w:cs="Arial"/>
          <w:color w:val="000000" w:themeColor="text1"/>
          <w:szCs w:val="21"/>
          <w:u w:val="single"/>
          <w14:textFill>
            <w14:solidFill>
              <w14:schemeClr w14:val="tx1"/>
            </w14:solidFill>
          </w14:textFill>
        </w:rPr>
      </w:pPr>
    </w:p>
    <w:p w14:paraId="5C2265DE">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2C63DC7D">
      <w:pPr>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5AC4C0F5">
      <w:pPr>
        <w:rPr>
          <w:rFonts w:hint="eastAsia"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br w:type="page"/>
      </w:r>
    </w:p>
    <w:p w14:paraId="0F2E1029">
      <w:pPr>
        <w:pStyle w:val="5"/>
        <w:numPr>
          <w:ilvl w:val="0"/>
          <w:numId w:val="25"/>
        </w:numPr>
        <w:spacing w:before="0" w:after="0"/>
        <w:ind w:left="0"/>
        <w:rPr>
          <w:rFonts w:hint="eastAsia"/>
          <w:color w:val="000000" w:themeColor="text1"/>
          <w14:textFill>
            <w14:solidFill>
              <w14:schemeClr w14:val="tx1"/>
            </w14:solidFill>
          </w14:textFill>
        </w:rPr>
      </w:pPr>
      <w:bookmarkStart w:id="437" w:name="_Toc22573"/>
      <w:bookmarkStart w:id="438" w:name="_Toc8282"/>
      <w:bookmarkStart w:id="439" w:name="_Toc155185923"/>
      <w:r>
        <w:rPr>
          <w:rFonts w:hint="eastAsia"/>
          <w:color w:val="000000" w:themeColor="text1"/>
          <w14:textFill>
            <w14:solidFill>
              <w14:schemeClr w14:val="tx1"/>
            </w14:solidFill>
          </w14:textFill>
        </w:rPr>
        <w:t>分项报价表</w:t>
      </w:r>
      <w:bookmarkEnd w:id="437"/>
      <w:bookmarkEnd w:id="438"/>
      <w:bookmarkEnd w:id="439"/>
    </w:p>
    <w:p w14:paraId="34CDBDCD">
      <w:pPr>
        <w:spacing w:line="300" w:lineRule="auto"/>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【适用于货物】</w:t>
      </w:r>
    </w:p>
    <w:p w14:paraId="2217CAB4">
      <w:pPr>
        <w:rPr>
          <w:rFonts w:hint="eastAsia"/>
          <w:b/>
          <w:color w:val="000000" w:themeColor="text1"/>
          <w:szCs w:val="21"/>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项目名称：</w:t>
      </w:r>
      <w:r>
        <w:rPr>
          <w:rFonts w:hint="eastAsia"/>
          <w:b/>
          <w:color w:val="000000" w:themeColor="text1"/>
          <w:szCs w:val="21"/>
          <w:u w:val="single"/>
          <w:lang w:val="zh-CN"/>
          <w14:textFill>
            <w14:solidFill>
              <w14:schemeClr w14:val="tx1"/>
            </w14:solidFill>
          </w14:textFill>
        </w:rPr>
        <w:t xml:space="preserve">                     </w:t>
      </w:r>
    </w:p>
    <w:p w14:paraId="18E2582A">
      <w:pPr>
        <w:rPr>
          <w:rFonts w:hint="eastAsia"/>
          <w:b/>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color w:val="000000" w:themeColor="text1"/>
          <w:szCs w:val="21"/>
          <w:u w:val="single"/>
          <w:lang w:val="zh-CN"/>
          <w14:textFill>
            <w14:solidFill>
              <w14:schemeClr w14:val="tx1"/>
            </w14:solidFill>
          </w14:textFill>
        </w:rPr>
        <w:t xml:space="preserve">                     </w:t>
      </w:r>
      <w:r>
        <w:rPr>
          <w:rFonts w:hint="eastAsia"/>
          <w:b/>
          <w:color w:val="000000" w:themeColor="text1"/>
          <w:szCs w:val="21"/>
          <w:lang w:val="zh-CN"/>
          <w14:textFill>
            <w14:solidFill>
              <w14:schemeClr w14:val="tx1"/>
            </w14:solidFill>
          </w14:textFill>
        </w:rPr>
        <w:t xml:space="preserve">     </w:t>
      </w:r>
      <w:r>
        <w:rPr>
          <w:rFonts w:hint="eastAsia"/>
          <w:b/>
          <w:bCs/>
          <w:color w:val="000000" w:themeColor="text1"/>
          <w:szCs w:val="21"/>
          <w:lang w:val="zh-CN"/>
          <w14:textFill>
            <w14:solidFill>
              <w14:schemeClr w14:val="tx1"/>
            </w14:solidFill>
          </w14:textFill>
        </w:rPr>
        <w:t xml:space="preserve">  所投包号：</w:t>
      </w:r>
      <w:r>
        <w:rPr>
          <w:rFonts w:hint="eastAsia"/>
          <w:b/>
          <w:bCs/>
          <w:color w:val="000000" w:themeColor="text1"/>
          <w:szCs w:val="21"/>
          <w:u w:val="single"/>
          <w:lang w:val="zh-CN"/>
          <w14:textFill>
            <w14:solidFill>
              <w14:schemeClr w14:val="tx1"/>
            </w14:solidFill>
          </w14:textFill>
        </w:rPr>
        <w:t xml:space="preserve">           </w:t>
      </w:r>
    </w:p>
    <w:tbl>
      <w:tblPr>
        <w:tblStyle w:val="8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4BEB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16C979EE">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序号</w:t>
            </w:r>
          </w:p>
        </w:tc>
        <w:tc>
          <w:tcPr>
            <w:tcW w:w="1581" w:type="dxa"/>
            <w:vAlign w:val="center"/>
          </w:tcPr>
          <w:p w14:paraId="63BEE4F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标的</w:t>
            </w:r>
            <w:r>
              <w:rPr>
                <w:color w:val="000000" w:themeColor="text1"/>
                <w14:textFill>
                  <w14:solidFill>
                    <w14:schemeClr w14:val="tx1"/>
                  </w14:solidFill>
                </w14:textFill>
              </w:rPr>
              <w:t>名称</w:t>
            </w:r>
          </w:p>
        </w:tc>
        <w:tc>
          <w:tcPr>
            <w:tcW w:w="968" w:type="dxa"/>
            <w:vAlign w:val="center"/>
          </w:tcPr>
          <w:p w14:paraId="7649387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制造商名称</w:t>
            </w:r>
          </w:p>
        </w:tc>
        <w:tc>
          <w:tcPr>
            <w:tcW w:w="609" w:type="dxa"/>
            <w:vAlign w:val="center"/>
          </w:tcPr>
          <w:p w14:paraId="19C293D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811" w:type="dxa"/>
            <w:vAlign w:val="center"/>
          </w:tcPr>
          <w:p w14:paraId="7403B7A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681" w:type="dxa"/>
            <w:vAlign w:val="center"/>
          </w:tcPr>
          <w:p w14:paraId="619F61E9">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型号规格</w:t>
            </w:r>
          </w:p>
        </w:tc>
        <w:tc>
          <w:tcPr>
            <w:tcW w:w="681" w:type="dxa"/>
            <w:vAlign w:val="center"/>
          </w:tcPr>
          <w:p w14:paraId="6EBEBEC7">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数量</w:t>
            </w:r>
          </w:p>
        </w:tc>
        <w:tc>
          <w:tcPr>
            <w:tcW w:w="1087" w:type="dxa"/>
            <w:vAlign w:val="center"/>
          </w:tcPr>
          <w:p w14:paraId="7EDCE261">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单价</w:t>
            </w:r>
          </w:p>
          <w:p w14:paraId="4BB1BC1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（元）</w:t>
            </w:r>
          </w:p>
        </w:tc>
        <w:tc>
          <w:tcPr>
            <w:tcW w:w="1087" w:type="dxa"/>
            <w:vAlign w:val="center"/>
          </w:tcPr>
          <w:p w14:paraId="7C236D5E">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总价</w:t>
            </w:r>
            <w:r>
              <w:rPr>
                <w:rFonts w:hint="eastAsia"/>
                <w:color w:val="000000" w:themeColor="text1"/>
                <w14:textFill>
                  <w14:solidFill>
                    <w14:schemeClr w14:val="tx1"/>
                  </w14:solidFill>
                </w14:textFill>
              </w:rPr>
              <w:t>（元）</w:t>
            </w:r>
          </w:p>
        </w:tc>
        <w:tc>
          <w:tcPr>
            <w:tcW w:w="857" w:type="dxa"/>
            <w:vAlign w:val="center"/>
          </w:tcPr>
          <w:p w14:paraId="5EC62CC0">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备注</w:t>
            </w:r>
          </w:p>
        </w:tc>
      </w:tr>
      <w:tr w14:paraId="1E4B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4F480CD">
            <w:pPr>
              <w:pStyle w:val="95"/>
              <w:numPr>
                <w:ilvl w:val="0"/>
                <w:numId w:val="28"/>
              </w:numPr>
              <w:ind w:left="0"/>
              <w:rPr>
                <w:rFonts w:hint="eastAsia"/>
                <w:color w:val="000000" w:themeColor="text1"/>
                <w14:textFill>
                  <w14:solidFill>
                    <w14:schemeClr w14:val="tx1"/>
                  </w14:solidFill>
                </w14:textFill>
              </w:rPr>
            </w:pPr>
          </w:p>
        </w:tc>
        <w:tc>
          <w:tcPr>
            <w:tcW w:w="1581" w:type="dxa"/>
          </w:tcPr>
          <w:p w14:paraId="4D6EB0B4">
            <w:pPr>
              <w:pStyle w:val="95"/>
              <w:rPr>
                <w:rFonts w:hint="eastAsia"/>
                <w:color w:val="000000" w:themeColor="text1"/>
                <w14:textFill>
                  <w14:solidFill>
                    <w14:schemeClr w14:val="tx1"/>
                  </w14:solidFill>
                </w14:textFill>
              </w:rPr>
            </w:pPr>
          </w:p>
        </w:tc>
        <w:tc>
          <w:tcPr>
            <w:tcW w:w="968" w:type="dxa"/>
            <w:vAlign w:val="center"/>
          </w:tcPr>
          <w:p w14:paraId="4A453379">
            <w:pPr>
              <w:pStyle w:val="95"/>
              <w:rPr>
                <w:rFonts w:hint="eastAsia"/>
                <w:color w:val="000000" w:themeColor="text1"/>
                <w14:textFill>
                  <w14:solidFill>
                    <w14:schemeClr w14:val="tx1"/>
                  </w14:solidFill>
                </w14:textFill>
              </w:rPr>
            </w:pPr>
          </w:p>
        </w:tc>
        <w:tc>
          <w:tcPr>
            <w:tcW w:w="609" w:type="dxa"/>
            <w:vAlign w:val="center"/>
          </w:tcPr>
          <w:p w14:paraId="0D4FC6C1">
            <w:pPr>
              <w:pStyle w:val="95"/>
              <w:rPr>
                <w:rFonts w:hint="eastAsia"/>
                <w:color w:val="000000" w:themeColor="text1"/>
                <w14:textFill>
                  <w14:solidFill>
                    <w14:schemeClr w14:val="tx1"/>
                  </w14:solidFill>
                </w14:textFill>
              </w:rPr>
            </w:pPr>
          </w:p>
        </w:tc>
        <w:tc>
          <w:tcPr>
            <w:tcW w:w="811" w:type="dxa"/>
            <w:vAlign w:val="center"/>
          </w:tcPr>
          <w:p w14:paraId="588557DA">
            <w:pPr>
              <w:pStyle w:val="95"/>
              <w:rPr>
                <w:rFonts w:hint="eastAsia"/>
                <w:color w:val="000000" w:themeColor="text1"/>
                <w14:textFill>
                  <w14:solidFill>
                    <w14:schemeClr w14:val="tx1"/>
                  </w14:solidFill>
                </w14:textFill>
              </w:rPr>
            </w:pPr>
          </w:p>
        </w:tc>
        <w:tc>
          <w:tcPr>
            <w:tcW w:w="681" w:type="dxa"/>
            <w:vAlign w:val="center"/>
          </w:tcPr>
          <w:p w14:paraId="6E6114E6">
            <w:pPr>
              <w:pStyle w:val="95"/>
              <w:rPr>
                <w:rFonts w:hint="eastAsia"/>
                <w:color w:val="000000" w:themeColor="text1"/>
                <w14:textFill>
                  <w14:solidFill>
                    <w14:schemeClr w14:val="tx1"/>
                  </w14:solidFill>
                </w14:textFill>
              </w:rPr>
            </w:pPr>
          </w:p>
        </w:tc>
        <w:tc>
          <w:tcPr>
            <w:tcW w:w="681" w:type="dxa"/>
            <w:vAlign w:val="center"/>
          </w:tcPr>
          <w:p w14:paraId="4C1A580F">
            <w:pPr>
              <w:pStyle w:val="95"/>
              <w:rPr>
                <w:rFonts w:hint="eastAsia"/>
                <w:color w:val="000000" w:themeColor="text1"/>
                <w14:textFill>
                  <w14:solidFill>
                    <w14:schemeClr w14:val="tx1"/>
                  </w14:solidFill>
                </w14:textFill>
              </w:rPr>
            </w:pPr>
          </w:p>
        </w:tc>
        <w:tc>
          <w:tcPr>
            <w:tcW w:w="1087" w:type="dxa"/>
            <w:vAlign w:val="center"/>
          </w:tcPr>
          <w:p w14:paraId="4DB4E798">
            <w:pPr>
              <w:pStyle w:val="95"/>
              <w:rPr>
                <w:rFonts w:hint="eastAsia"/>
                <w:color w:val="000000" w:themeColor="text1"/>
                <w14:textFill>
                  <w14:solidFill>
                    <w14:schemeClr w14:val="tx1"/>
                  </w14:solidFill>
                </w14:textFill>
              </w:rPr>
            </w:pPr>
          </w:p>
        </w:tc>
        <w:tc>
          <w:tcPr>
            <w:tcW w:w="1087" w:type="dxa"/>
            <w:vAlign w:val="center"/>
          </w:tcPr>
          <w:p w14:paraId="4931C344">
            <w:pPr>
              <w:pStyle w:val="95"/>
              <w:rPr>
                <w:rFonts w:hint="eastAsia"/>
                <w:color w:val="000000" w:themeColor="text1"/>
                <w14:textFill>
                  <w14:solidFill>
                    <w14:schemeClr w14:val="tx1"/>
                  </w14:solidFill>
                </w14:textFill>
              </w:rPr>
            </w:pPr>
          </w:p>
        </w:tc>
        <w:tc>
          <w:tcPr>
            <w:tcW w:w="857" w:type="dxa"/>
            <w:vAlign w:val="center"/>
          </w:tcPr>
          <w:p w14:paraId="7756B13F">
            <w:pPr>
              <w:pStyle w:val="95"/>
              <w:rPr>
                <w:rFonts w:hint="eastAsia"/>
                <w:color w:val="000000" w:themeColor="text1"/>
                <w14:textFill>
                  <w14:solidFill>
                    <w14:schemeClr w14:val="tx1"/>
                  </w14:solidFill>
                </w14:textFill>
              </w:rPr>
            </w:pPr>
          </w:p>
        </w:tc>
      </w:tr>
      <w:tr w14:paraId="5B5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4D60C9D">
            <w:pPr>
              <w:pStyle w:val="95"/>
              <w:numPr>
                <w:ilvl w:val="0"/>
                <w:numId w:val="28"/>
              </w:numPr>
              <w:ind w:left="0"/>
              <w:rPr>
                <w:rFonts w:hint="eastAsia"/>
                <w:color w:val="000000" w:themeColor="text1"/>
                <w14:textFill>
                  <w14:solidFill>
                    <w14:schemeClr w14:val="tx1"/>
                  </w14:solidFill>
                </w14:textFill>
              </w:rPr>
            </w:pPr>
          </w:p>
        </w:tc>
        <w:tc>
          <w:tcPr>
            <w:tcW w:w="1581" w:type="dxa"/>
          </w:tcPr>
          <w:p w14:paraId="52B3CFB1">
            <w:pPr>
              <w:pStyle w:val="95"/>
              <w:rPr>
                <w:rFonts w:hint="eastAsia"/>
                <w:color w:val="000000" w:themeColor="text1"/>
                <w14:textFill>
                  <w14:solidFill>
                    <w14:schemeClr w14:val="tx1"/>
                  </w14:solidFill>
                </w14:textFill>
              </w:rPr>
            </w:pPr>
          </w:p>
        </w:tc>
        <w:tc>
          <w:tcPr>
            <w:tcW w:w="968" w:type="dxa"/>
            <w:vAlign w:val="center"/>
          </w:tcPr>
          <w:p w14:paraId="44FD76C2">
            <w:pPr>
              <w:pStyle w:val="95"/>
              <w:rPr>
                <w:rFonts w:hint="eastAsia"/>
                <w:color w:val="000000" w:themeColor="text1"/>
                <w14:textFill>
                  <w14:solidFill>
                    <w14:schemeClr w14:val="tx1"/>
                  </w14:solidFill>
                </w14:textFill>
              </w:rPr>
            </w:pPr>
          </w:p>
        </w:tc>
        <w:tc>
          <w:tcPr>
            <w:tcW w:w="609" w:type="dxa"/>
            <w:vAlign w:val="center"/>
          </w:tcPr>
          <w:p w14:paraId="0E129A6E">
            <w:pPr>
              <w:pStyle w:val="95"/>
              <w:rPr>
                <w:rFonts w:hint="eastAsia"/>
                <w:color w:val="000000" w:themeColor="text1"/>
                <w14:textFill>
                  <w14:solidFill>
                    <w14:schemeClr w14:val="tx1"/>
                  </w14:solidFill>
                </w14:textFill>
              </w:rPr>
            </w:pPr>
          </w:p>
        </w:tc>
        <w:tc>
          <w:tcPr>
            <w:tcW w:w="811" w:type="dxa"/>
            <w:vAlign w:val="center"/>
          </w:tcPr>
          <w:p w14:paraId="55E209B9">
            <w:pPr>
              <w:pStyle w:val="95"/>
              <w:rPr>
                <w:rFonts w:hint="eastAsia"/>
                <w:color w:val="000000" w:themeColor="text1"/>
                <w14:textFill>
                  <w14:solidFill>
                    <w14:schemeClr w14:val="tx1"/>
                  </w14:solidFill>
                </w14:textFill>
              </w:rPr>
            </w:pPr>
          </w:p>
        </w:tc>
        <w:tc>
          <w:tcPr>
            <w:tcW w:w="681" w:type="dxa"/>
            <w:vAlign w:val="center"/>
          </w:tcPr>
          <w:p w14:paraId="13F8EE0E">
            <w:pPr>
              <w:pStyle w:val="95"/>
              <w:rPr>
                <w:rFonts w:hint="eastAsia"/>
                <w:color w:val="000000" w:themeColor="text1"/>
                <w14:textFill>
                  <w14:solidFill>
                    <w14:schemeClr w14:val="tx1"/>
                  </w14:solidFill>
                </w14:textFill>
              </w:rPr>
            </w:pPr>
          </w:p>
        </w:tc>
        <w:tc>
          <w:tcPr>
            <w:tcW w:w="681" w:type="dxa"/>
            <w:vAlign w:val="center"/>
          </w:tcPr>
          <w:p w14:paraId="78436BDF">
            <w:pPr>
              <w:pStyle w:val="95"/>
              <w:rPr>
                <w:rFonts w:hint="eastAsia"/>
                <w:color w:val="000000" w:themeColor="text1"/>
                <w14:textFill>
                  <w14:solidFill>
                    <w14:schemeClr w14:val="tx1"/>
                  </w14:solidFill>
                </w14:textFill>
              </w:rPr>
            </w:pPr>
          </w:p>
        </w:tc>
        <w:tc>
          <w:tcPr>
            <w:tcW w:w="1087" w:type="dxa"/>
            <w:vAlign w:val="center"/>
          </w:tcPr>
          <w:p w14:paraId="23563784">
            <w:pPr>
              <w:pStyle w:val="95"/>
              <w:rPr>
                <w:rFonts w:hint="eastAsia"/>
                <w:color w:val="000000" w:themeColor="text1"/>
                <w14:textFill>
                  <w14:solidFill>
                    <w14:schemeClr w14:val="tx1"/>
                  </w14:solidFill>
                </w14:textFill>
              </w:rPr>
            </w:pPr>
          </w:p>
        </w:tc>
        <w:tc>
          <w:tcPr>
            <w:tcW w:w="1087" w:type="dxa"/>
            <w:vAlign w:val="center"/>
          </w:tcPr>
          <w:p w14:paraId="60F41499">
            <w:pPr>
              <w:pStyle w:val="95"/>
              <w:rPr>
                <w:rFonts w:hint="eastAsia"/>
                <w:color w:val="000000" w:themeColor="text1"/>
                <w14:textFill>
                  <w14:solidFill>
                    <w14:schemeClr w14:val="tx1"/>
                  </w14:solidFill>
                </w14:textFill>
              </w:rPr>
            </w:pPr>
          </w:p>
        </w:tc>
        <w:tc>
          <w:tcPr>
            <w:tcW w:w="857" w:type="dxa"/>
            <w:vAlign w:val="center"/>
          </w:tcPr>
          <w:p w14:paraId="64342C0D">
            <w:pPr>
              <w:pStyle w:val="95"/>
              <w:rPr>
                <w:rFonts w:hint="eastAsia"/>
                <w:color w:val="000000" w:themeColor="text1"/>
                <w14:textFill>
                  <w14:solidFill>
                    <w14:schemeClr w14:val="tx1"/>
                  </w14:solidFill>
                </w14:textFill>
              </w:rPr>
            </w:pPr>
          </w:p>
        </w:tc>
      </w:tr>
      <w:tr w14:paraId="6D1A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629BFEC2">
            <w:pPr>
              <w:pStyle w:val="95"/>
              <w:numPr>
                <w:ilvl w:val="0"/>
                <w:numId w:val="28"/>
              </w:numPr>
              <w:ind w:left="0"/>
              <w:rPr>
                <w:rFonts w:hint="eastAsia"/>
                <w:color w:val="000000" w:themeColor="text1"/>
                <w14:textFill>
                  <w14:solidFill>
                    <w14:schemeClr w14:val="tx1"/>
                  </w14:solidFill>
                </w14:textFill>
              </w:rPr>
            </w:pPr>
          </w:p>
        </w:tc>
        <w:tc>
          <w:tcPr>
            <w:tcW w:w="1581" w:type="dxa"/>
          </w:tcPr>
          <w:p w14:paraId="1C7AFBE7">
            <w:pPr>
              <w:pStyle w:val="95"/>
              <w:rPr>
                <w:rFonts w:hint="eastAsia"/>
                <w:color w:val="000000" w:themeColor="text1"/>
                <w14:textFill>
                  <w14:solidFill>
                    <w14:schemeClr w14:val="tx1"/>
                  </w14:solidFill>
                </w14:textFill>
              </w:rPr>
            </w:pPr>
          </w:p>
        </w:tc>
        <w:tc>
          <w:tcPr>
            <w:tcW w:w="968" w:type="dxa"/>
            <w:vAlign w:val="center"/>
          </w:tcPr>
          <w:p w14:paraId="6B4A8D91">
            <w:pPr>
              <w:pStyle w:val="95"/>
              <w:rPr>
                <w:rFonts w:hint="eastAsia"/>
                <w:color w:val="000000" w:themeColor="text1"/>
                <w14:textFill>
                  <w14:solidFill>
                    <w14:schemeClr w14:val="tx1"/>
                  </w14:solidFill>
                </w14:textFill>
              </w:rPr>
            </w:pPr>
          </w:p>
        </w:tc>
        <w:tc>
          <w:tcPr>
            <w:tcW w:w="609" w:type="dxa"/>
            <w:vAlign w:val="center"/>
          </w:tcPr>
          <w:p w14:paraId="0358EB0B">
            <w:pPr>
              <w:pStyle w:val="95"/>
              <w:rPr>
                <w:rFonts w:hint="eastAsia"/>
                <w:color w:val="000000" w:themeColor="text1"/>
                <w14:textFill>
                  <w14:solidFill>
                    <w14:schemeClr w14:val="tx1"/>
                  </w14:solidFill>
                </w14:textFill>
              </w:rPr>
            </w:pPr>
          </w:p>
        </w:tc>
        <w:tc>
          <w:tcPr>
            <w:tcW w:w="811" w:type="dxa"/>
            <w:vAlign w:val="center"/>
          </w:tcPr>
          <w:p w14:paraId="0F254912">
            <w:pPr>
              <w:pStyle w:val="95"/>
              <w:rPr>
                <w:rFonts w:hint="eastAsia"/>
                <w:color w:val="000000" w:themeColor="text1"/>
                <w14:textFill>
                  <w14:solidFill>
                    <w14:schemeClr w14:val="tx1"/>
                  </w14:solidFill>
                </w14:textFill>
              </w:rPr>
            </w:pPr>
          </w:p>
        </w:tc>
        <w:tc>
          <w:tcPr>
            <w:tcW w:w="681" w:type="dxa"/>
            <w:vAlign w:val="center"/>
          </w:tcPr>
          <w:p w14:paraId="13DE18CA">
            <w:pPr>
              <w:pStyle w:val="95"/>
              <w:rPr>
                <w:rFonts w:hint="eastAsia"/>
                <w:color w:val="000000" w:themeColor="text1"/>
                <w14:textFill>
                  <w14:solidFill>
                    <w14:schemeClr w14:val="tx1"/>
                  </w14:solidFill>
                </w14:textFill>
              </w:rPr>
            </w:pPr>
          </w:p>
        </w:tc>
        <w:tc>
          <w:tcPr>
            <w:tcW w:w="681" w:type="dxa"/>
            <w:vAlign w:val="center"/>
          </w:tcPr>
          <w:p w14:paraId="6427D372">
            <w:pPr>
              <w:pStyle w:val="95"/>
              <w:rPr>
                <w:rFonts w:hint="eastAsia"/>
                <w:color w:val="000000" w:themeColor="text1"/>
                <w14:textFill>
                  <w14:solidFill>
                    <w14:schemeClr w14:val="tx1"/>
                  </w14:solidFill>
                </w14:textFill>
              </w:rPr>
            </w:pPr>
          </w:p>
        </w:tc>
        <w:tc>
          <w:tcPr>
            <w:tcW w:w="1087" w:type="dxa"/>
            <w:vAlign w:val="center"/>
          </w:tcPr>
          <w:p w14:paraId="3067C022">
            <w:pPr>
              <w:pStyle w:val="95"/>
              <w:rPr>
                <w:rFonts w:hint="eastAsia"/>
                <w:color w:val="000000" w:themeColor="text1"/>
                <w14:textFill>
                  <w14:solidFill>
                    <w14:schemeClr w14:val="tx1"/>
                  </w14:solidFill>
                </w14:textFill>
              </w:rPr>
            </w:pPr>
          </w:p>
        </w:tc>
        <w:tc>
          <w:tcPr>
            <w:tcW w:w="1087" w:type="dxa"/>
            <w:vAlign w:val="center"/>
          </w:tcPr>
          <w:p w14:paraId="5872BFA1">
            <w:pPr>
              <w:pStyle w:val="95"/>
              <w:rPr>
                <w:rFonts w:hint="eastAsia"/>
                <w:color w:val="000000" w:themeColor="text1"/>
                <w14:textFill>
                  <w14:solidFill>
                    <w14:schemeClr w14:val="tx1"/>
                  </w14:solidFill>
                </w14:textFill>
              </w:rPr>
            </w:pPr>
          </w:p>
        </w:tc>
        <w:tc>
          <w:tcPr>
            <w:tcW w:w="857" w:type="dxa"/>
            <w:vAlign w:val="center"/>
          </w:tcPr>
          <w:p w14:paraId="0F73969C">
            <w:pPr>
              <w:pStyle w:val="95"/>
              <w:rPr>
                <w:rFonts w:hint="eastAsia"/>
                <w:color w:val="000000" w:themeColor="text1"/>
                <w14:textFill>
                  <w14:solidFill>
                    <w14:schemeClr w14:val="tx1"/>
                  </w14:solidFill>
                </w14:textFill>
              </w:rPr>
            </w:pPr>
          </w:p>
        </w:tc>
      </w:tr>
      <w:tr w14:paraId="500A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3BE1A95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投标报价合计（元）</w:t>
            </w:r>
          </w:p>
        </w:tc>
        <w:tc>
          <w:tcPr>
            <w:tcW w:w="1944" w:type="dxa"/>
            <w:gridSpan w:val="2"/>
            <w:vAlign w:val="center"/>
          </w:tcPr>
          <w:p w14:paraId="3738C826">
            <w:pPr>
              <w:pStyle w:val="95"/>
              <w:rPr>
                <w:rFonts w:hint="eastAsia"/>
                <w:color w:val="000000" w:themeColor="text1"/>
                <w14:textFill>
                  <w14:solidFill>
                    <w14:schemeClr w14:val="tx1"/>
                  </w14:solidFill>
                </w14:textFill>
              </w:rPr>
            </w:pPr>
          </w:p>
        </w:tc>
      </w:tr>
    </w:tbl>
    <w:p w14:paraId="42B3A8BC">
      <w:pPr>
        <w:spacing w:line="300" w:lineRule="auto"/>
        <w:rPr>
          <w:rFonts w:ascii="Arial" w:hAnsi="Arial" w:cs="Arial"/>
          <w:color w:val="000000" w:themeColor="text1"/>
          <w:szCs w:val="21"/>
          <w14:textFill>
            <w14:solidFill>
              <w14:schemeClr w14:val="tx1"/>
            </w14:solidFill>
          </w14:textFill>
        </w:rPr>
      </w:pPr>
    </w:p>
    <w:p w14:paraId="65253FF0">
      <w:pPr>
        <w:spacing w:line="300" w:lineRule="auto"/>
        <w:rPr>
          <w:rFonts w:ascii="Arial" w:hAnsi="Arial" w:cs="Arial"/>
          <w:color w:val="000000" w:themeColor="text1"/>
          <w:szCs w:val="21"/>
          <w14:textFill>
            <w14:solidFill>
              <w14:schemeClr w14:val="tx1"/>
            </w14:solidFill>
          </w14:textFill>
        </w:rPr>
      </w:pPr>
    </w:p>
    <w:p w14:paraId="03D3E941">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526F3098">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6AEB14DF">
      <w:pPr>
        <w:spacing w:line="300" w:lineRule="auto"/>
        <w:rPr>
          <w:rFonts w:ascii="Arial" w:hAnsi="Arial" w:cs="Arial"/>
          <w:color w:val="000000" w:themeColor="text1"/>
          <w:szCs w:val="21"/>
          <w14:textFill>
            <w14:solidFill>
              <w14:schemeClr w14:val="tx1"/>
            </w14:solidFill>
          </w14:textFill>
        </w:rPr>
      </w:pPr>
    </w:p>
    <w:p w14:paraId="144F44E3">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t>注：</w:t>
      </w:r>
    </w:p>
    <w:p w14:paraId="60B133A5">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按照本表填写的各项目的合计价填写到</w:t>
      </w:r>
      <w:r>
        <w:rPr>
          <w:rFonts w:hint="eastAsia"/>
          <w:color w:val="000000" w:themeColor="text1"/>
          <w14:textFill>
            <w14:solidFill>
              <w14:schemeClr w14:val="tx1"/>
            </w14:solidFill>
          </w14:textFill>
        </w:rPr>
        <w:t>《投标一览表》</w:t>
      </w:r>
      <w:r>
        <w:rPr>
          <w:color w:val="000000" w:themeColor="text1"/>
          <w14:textFill>
            <w14:solidFill>
              <w14:schemeClr w14:val="tx1"/>
            </w14:solidFill>
          </w14:textFill>
        </w:rPr>
        <w:t>中对应的栏目中。</w:t>
      </w:r>
    </w:p>
    <w:p w14:paraId="00546EA7">
      <w:pPr>
        <w:rPr>
          <w:rFonts w:hint="eastAsia" w:cs="Arial"/>
          <w:color w:val="000000" w:themeColor="text1"/>
          <w:szCs w:val="24"/>
          <w14:textFill>
            <w14:solidFill>
              <w14:schemeClr w14:val="tx1"/>
            </w14:solidFill>
          </w14:textFill>
        </w:rPr>
      </w:pPr>
    </w:p>
    <w:p w14:paraId="6147D4EB">
      <w:pPr>
        <w:rPr>
          <w:rFonts w:hint="eastAsia" w:cs="Arial"/>
          <w:color w:val="000000" w:themeColor="text1"/>
          <w:szCs w:val="24"/>
          <w14:textFill>
            <w14:solidFill>
              <w14:schemeClr w14:val="tx1"/>
            </w14:solidFill>
          </w14:textFill>
        </w:rPr>
      </w:pPr>
      <w:r>
        <w:rPr>
          <w:rFonts w:cs="Arial"/>
          <w:color w:val="000000" w:themeColor="text1"/>
          <w:szCs w:val="24"/>
          <w14:textFill>
            <w14:solidFill>
              <w14:schemeClr w14:val="tx1"/>
            </w14:solidFill>
          </w14:textFill>
        </w:rPr>
        <w:br w:type="page"/>
      </w:r>
    </w:p>
    <w:p w14:paraId="4AA3F4D4">
      <w:pPr>
        <w:spacing w:line="300" w:lineRule="auto"/>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【适用于服务】</w:t>
      </w:r>
    </w:p>
    <w:p w14:paraId="2760D9D3">
      <w:pPr>
        <w:rPr>
          <w:rFonts w:hint="eastAsia"/>
          <w:b/>
          <w:color w:val="000000" w:themeColor="text1"/>
          <w:szCs w:val="21"/>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项目名称：</w:t>
      </w:r>
      <w:r>
        <w:rPr>
          <w:rFonts w:hint="eastAsia"/>
          <w:b/>
          <w:color w:val="000000" w:themeColor="text1"/>
          <w:szCs w:val="21"/>
          <w:u w:val="single"/>
          <w:lang w:val="zh-CN"/>
          <w14:textFill>
            <w14:solidFill>
              <w14:schemeClr w14:val="tx1"/>
            </w14:solidFill>
          </w14:textFill>
        </w:rPr>
        <w:t xml:space="preserve">                     </w:t>
      </w:r>
    </w:p>
    <w:p w14:paraId="1F3EDD63">
      <w:pPr>
        <w:rPr>
          <w:rFonts w:hint="eastAsia"/>
          <w:b/>
          <w:color w:val="000000" w:themeColor="text1"/>
          <w:szCs w:val="21"/>
          <w:u w:val="single"/>
          <w:lang w:val="zh-CN"/>
          <w14:textFill>
            <w14:solidFill>
              <w14:schemeClr w14:val="tx1"/>
            </w14:solidFill>
          </w14:textFill>
        </w:rPr>
      </w:pPr>
      <w:r>
        <w:rPr>
          <w:rFonts w:hint="eastAsia"/>
          <w:b/>
          <w:color w:val="000000" w:themeColor="text1"/>
          <w:szCs w:val="21"/>
          <w:lang w:val="zh-CN"/>
          <w14:textFill>
            <w14:solidFill>
              <w14:schemeClr w14:val="tx1"/>
            </w14:solidFill>
          </w14:textFill>
        </w:rPr>
        <w:t>项目编号：</w:t>
      </w:r>
      <w:r>
        <w:rPr>
          <w:rFonts w:hint="eastAsia"/>
          <w:b/>
          <w:color w:val="000000" w:themeColor="text1"/>
          <w:szCs w:val="21"/>
          <w:u w:val="single"/>
          <w:lang w:val="zh-CN"/>
          <w14:textFill>
            <w14:solidFill>
              <w14:schemeClr w14:val="tx1"/>
            </w14:solidFill>
          </w14:textFill>
        </w:rPr>
        <w:t xml:space="preserve">                     </w:t>
      </w:r>
      <w:r>
        <w:rPr>
          <w:rFonts w:hint="eastAsia"/>
          <w:b/>
          <w:color w:val="000000" w:themeColor="text1"/>
          <w:szCs w:val="21"/>
          <w:lang w:val="zh-CN"/>
          <w14:textFill>
            <w14:solidFill>
              <w14:schemeClr w14:val="tx1"/>
            </w14:solidFill>
          </w14:textFill>
        </w:rPr>
        <w:t xml:space="preserve">     </w:t>
      </w:r>
      <w:r>
        <w:rPr>
          <w:rFonts w:hint="eastAsia"/>
          <w:b/>
          <w:bCs/>
          <w:color w:val="000000" w:themeColor="text1"/>
          <w:szCs w:val="21"/>
          <w:lang w:val="zh-CN"/>
          <w14:textFill>
            <w14:solidFill>
              <w14:schemeClr w14:val="tx1"/>
            </w14:solidFill>
          </w14:textFill>
        </w:rPr>
        <w:t xml:space="preserve">  所投包号：</w:t>
      </w:r>
      <w:r>
        <w:rPr>
          <w:rFonts w:hint="eastAsia"/>
          <w:b/>
          <w:bCs/>
          <w:color w:val="000000" w:themeColor="text1"/>
          <w:szCs w:val="21"/>
          <w:u w:val="single"/>
          <w:lang w:val="zh-CN"/>
          <w14:textFill>
            <w14:solidFill>
              <w14:schemeClr w14:val="tx1"/>
            </w14:solidFill>
          </w14:textFill>
        </w:rPr>
        <w:t xml:space="preserve">           </w:t>
      </w:r>
    </w:p>
    <w:tbl>
      <w:tblPr>
        <w:tblStyle w:val="8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89F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F533327">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3720" w:type="dxa"/>
            <w:vAlign w:val="center"/>
          </w:tcPr>
          <w:p w14:paraId="74162AA4">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1065" w:type="dxa"/>
            <w:vAlign w:val="center"/>
          </w:tcPr>
          <w:p w14:paraId="128AD34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065" w:type="dxa"/>
            <w:vAlign w:val="center"/>
          </w:tcPr>
          <w:p w14:paraId="421D33E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单价（元）</w:t>
            </w:r>
          </w:p>
        </w:tc>
        <w:tc>
          <w:tcPr>
            <w:tcW w:w="1066" w:type="dxa"/>
            <w:vAlign w:val="center"/>
          </w:tcPr>
          <w:p w14:paraId="6C407296">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总价</w:t>
            </w:r>
          </w:p>
        </w:tc>
        <w:tc>
          <w:tcPr>
            <w:tcW w:w="947" w:type="dxa"/>
            <w:vAlign w:val="center"/>
          </w:tcPr>
          <w:p w14:paraId="3D8B1DE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14:paraId="70B9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8DBCE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720" w:type="dxa"/>
            <w:vAlign w:val="center"/>
          </w:tcPr>
          <w:p w14:paraId="41530245">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7286774E">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7BF1E4F6">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409B00F5">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54B27C6F">
            <w:pPr>
              <w:adjustRightInd w:val="0"/>
              <w:snapToGrid w:val="0"/>
              <w:jc w:val="center"/>
              <w:rPr>
                <w:rFonts w:hint="eastAsia"/>
                <w:color w:val="000000" w:themeColor="text1"/>
                <w:szCs w:val="21"/>
                <w14:textFill>
                  <w14:solidFill>
                    <w14:schemeClr w14:val="tx1"/>
                  </w14:solidFill>
                </w14:textFill>
              </w:rPr>
            </w:pPr>
          </w:p>
        </w:tc>
      </w:tr>
      <w:tr w14:paraId="5393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6290C0">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720" w:type="dxa"/>
            <w:vAlign w:val="center"/>
          </w:tcPr>
          <w:p w14:paraId="2C686A8F">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35C14B97">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239CF3E6">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76714A66">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4D7346AD">
            <w:pPr>
              <w:adjustRightInd w:val="0"/>
              <w:snapToGrid w:val="0"/>
              <w:jc w:val="center"/>
              <w:rPr>
                <w:rFonts w:hint="eastAsia"/>
                <w:color w:val="000000" w:themeColor="text1"/>
                <w:szCs w:val="21"/>
                <w14:textFill>
                  <w14:solidFill>
                    <w14:schemeClr w14:val="tx1"/>
                  </w14:solidFill>
                </w14:textFill>
              </w:rPr>
            </w:pPr>
          </w:p>
        </w:tc>
      </w:tr>
      <w:tr w14:paraId="4151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46F7091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720" w:type="dxa"/>
            <w:vAlign w:val="center"/>
          </w:tcPr>
          <w:p w14:paraId="6020FD9A">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519C3A23">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6917E048">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7CC18868">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567245DB">
            <w:pPr>
              <w:adjustRightInd w:val="0"/>
              <w:snapToGrid w:val="0"/>
              <w:jc w:val="center"/>
              <w:rPr>
                <w:rFonts w:hint="eastAsia"/>
                <w:color w:val="000000" w:themeColor="text1"/>
                <w:szCs w:val="21"/>
                <w14:textFill>
                  <w14:solidFill>
                    <w14:schemeClr w14:val="tx1"/>
                  </w14:solidFill>
                </w14:textFill>
              </w:rPr>
            </w:pPr>
          </w:p>
        </w:tc>
      </w:tr>
      <w:tr w14:paraId="3DBB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800CA3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720" w:type="dxa"/>
            <w:vAlign w:val="center"/>
          </w:tcPr>
          <w:p w14:paraId="4BF99EBE">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0161BFE6">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52CEFB99">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68B35826">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7A917B93">
            <w:pPr>
              <w:adjustRightInd w:val="0"/>
              <w:snapToGrid w:val="0"/>
              <w:jc w:val="center"/>
              <w:rPr>
                <w:rFonts w:hint="eastAsia"/>
                <w:color w:val="000000" w:themeColor="text1"/>
                <w:szCs w:val="21"/>
                <w14:textFill>
                  <w14:solidFill>
                    <w14:schemeClr w14:val="tx1"/>
                  </w14:solidFill>
                </w14:textFill>
              </w:rPr>
            </w:pPr>
          </w:p>
        </w:tc>
      </w:tr>
      <w:tr w14:paraId="10B8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86B8818">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3720" w:type="dxa"/>
            <w:vAlign w:val="center"/>
          </w:tcPr>
          <w:p w14:paraId="4EEABBC7">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04EF588B">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5DAEC9AE">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5DE42B6E">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448BE997">
            <w:pPr>
              <w:adjustRightInd w:val="0"/>
              <w:snapToGrid w:val="0"/>
              <w:jc w:val="center"/>
              <w:rPr>
                <w:rFonts w:hint="eastAsia"/>
                <w:color w:val="000000" w:themeColor="text1"/>
                <w:szCs w:val="21"/>
                <w14:textFill>
                  <w14:solidFill>
                    <w14:schemeClr w14:val="tx1"/>
                  </w14:solidFill>
                </w14:textFill>
              </w:rPr>
            </w:pPr>
          </w:p>
        </w:tc>
      </w:tr>
      <w:tr w14:paraId="3091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584DB7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3720" w:type="dxa"/>
            <w:vAlign w:val="center"/>
          </w:tcPr>
          <w:p w14:paraId="00599F58">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0EDB2127">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3BC6478E">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2449BAE5">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5A2080F9">
            <w:pPr>
              <w:adjustRightInd w:val="0"/>
              <w:snapToGrid w:val="0"/>
              <w:jc w:val="center"/>
              <w:rPr>
                <w:rFonts w:hint="eastAsia"/>
                <w:color w:val="000000" w:themeColor="text1"/>
                <w:szCs w:val="21"/>
                <w14:textFill>
                  <w14:solidFill>
                    <w14:schemeClr w14:val="tx1"/>
                  </w14:solidFill>
                </w14:textFill>
              </w:rPr>
            </w:pPr>
          </w:p>
        </w:tc>
      </w:tr>
      <w:tr w14:paraId="2C70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CF85896">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3720" w:type="dxa"/>
            <w:vAlign w:val="center"/>
          </w:tcPr>
          <w:p w14:paraId="3F8E3F72">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533DCF4F">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254D46FD">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37708F3B">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143E488F">
            <w:pPr>
              <w:adjustRightInd w:val="0"/>
              <w:snapToGrid w:val="0"/>
              <w:jc w:val="center"/>
              <w:rPr>
                <w:rFonts w:hint="eastAsia"/>
                <w:color w:val="000000" w:themeColor="text1"/>
                <w:szCs w:val="21"/>
                <w14:textFill>
                  <w14:solidFill>
                    <w14:schemeClr w14:val="tx1"/>
                  </w14:solidFill>
                </w14:textFill>
              </w:rPr>
            </w:pPr>
          </w:p>
        </w:tc>
      </w:tr>
      <w:tr w14:paraId="52AC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3970907">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3720" w:type="dxa"/>
            <w:vAlign w:val="center"/>
          </w:tcPr>
          <w:p w14:paraId="483B21DE">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29C466FC">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4D430E65">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7ED34F29">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0B499F9A">
            <w:pPr>
              <w:adjustRightInd w:val="0"/>
              <w:snapToGrid w:val="0"/>
              <w:jc w:val="center"/>
              <w:rPr>
                <w:rFonts w:hint="eastAsia"/>
                <w:color w:val="000000" w:themeColor="text1"/>
                <w:szCs w:val="21"/>
                <w14:textFill>
                  <w14:solidFill>
                    <w14:schemeClr w14:val="tx1"/>
                  </w14:solidFill>
                </w14:textFill>
              </w:rPr>
            </w:pPr>
          </w:p>
        </w:tc>
      </w:tr>
      <w:tr w14:paraId="75D7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289C38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3720" w:type="dxa"/>
            <w:vAlign w:val="center"/>
          </w:tcPr>
          <w:p w14:paraId="1F9724F7">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33075134">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54CB4F10">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783244F0">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1C640A54">
            <w:pPr>
              <w:adjustRightInd w:val="0"/>
              <w:snapToGrid w:val="0"/>
              <w:jc w:val="center"/>
              <w:rPr>
                <w:rFonts w:hint="eastAsia"/>
                <w:color w:val="000000" w:themeColor="text1"/>
                <w:szCs w:val="21"/>
                <w14:textFill>
                  <w14:solidFill>
                    <w14:schemeClr w14:val="tx1"/>
                  </w14:solidFill>
                </w14:textFill>
              </w:rPr>
            </w:pPr>
          </w:p>
        </w:tc>
      </w:tr>
      <w:tr w14:paraId="37B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0DD7EC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3720" w:type="dxa"/>
            <w:vAlign w:val="center"/>
          </w:tcPr>
          <w:p w14:paraId="269BA55B">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7C6B0968">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7C594DFA">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577FF542">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57CA193A">
            <w:pPr>
              <w:adjustRightInd w:val="0"/>
              <w:snapToGrid w:val="0"/>
              <w:jc w:val="center"/>
              <w:rPr>
                <w:rFonts w:hint="eastAsia"/>
                <w:color w:val="000000" w:themeColor="text1"/>
                <w:szCs w:val="21"/>
                <w14:textFill>
                  <w14:solidFill>
                    <w14:schemeClr w14:val="tx1"/>
                  </w14:solidFill>
                </w14:textFill>
              </w:rPr>
            </w:pPr>
          </w:p>
        </w:tc>
      </w:tr>
      <w:tr w14:paraId="4AD8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C4B2F25">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720" w:type="dxa"/>
            <w:vAlign w:val="center"/>
          </w:tcPr>
          <w:p w14:paraId="60FAACA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65" w:type="dxa"/>
            <w:vAlign w:val="center"/>
          </w:tcPr>
          <w:p w14:paraId="1D18E9ED">
            <w:pPr>
              <w:adjustRightInd w:val="0"/>
              <w:snapToGrid w:val="0"/>
              <w:jc w:val="center"/>
              <w:rPr>
                <w:rFonts w:hint="eastAsia"/>
                <w:color w:val="000000" w:themeColor="text1"/>
                <w:szCs w:val="21"/>
                <w14:textFill>
                  <w14:solidFill>
                    <w14:schemeClr w14:val="tx1"/>
                  </w14:solidFill>
                </w14:textFill>
              </w:rPr>
            </w:pPr>
          </w:p>
        </w:tc>
        <w:tc>
          <w:tcPr>
            <w:tcW w:w="1065" w:type="dxa"/>
            <w:vAlign w:val="center"/>
          </w:tcPr>
          <w:p w14:paraId="13A98AC6">
            <w:pPr>
              <w:adjustRightInd w:val="0"/>
              <w:snapToGrid w:val="0"/>
              <w:jc w:val="center"/>
              <w:rPr>
                <w:rFonts w:hint="eastAsia"/>
                <w:color w:val="000000" w:themeColor="text1"/>
                <w:szCs w:val="21"/>
                <w14:textFill>
                  <w14:solidFill>
                    <w14:schemeClr w14:val="tx1"/>
                  </w14:solidFill>
                </w14:textFill>
              </w:rPr>
            </w:pPr>
          </w:p>
        </w:tc>
        <w:tc>
          <w:tcPr>
            <w:tcW w:w="1066" w:type="dxa"/>
            <w:vAlign w:val="center"/>
          </w:tcPr>
          <w:p w14:paraId="1E7BF802">
            <w:pPr>
              <w:adjustRightInd w:val="0"/>
              <w:snapToGrid w:val="0"/>
              <w:jc w:val="center"/>
              <w:rPr>
                <w:rFonts w:hint="eastAsia"/>
                <w:color w:val="000000" w:themeColor="text1"/>
                <w:szCs w:val="21"/>
                <w14:textFill>
                  <w14:solidFill>
                    <w14:schemeClr w14:val="tx1"/>
                  </w14:solidFill>
                </w14:textFill>
              </w:rPr>
            </w:pPr>
          </w:p>
        </w:tc>
        <w:tc>
          <w:tcPr>
            <w:tcW w:w="947" w:type="dxa"/>
            <w:vAlign w:val="center"/>
          </w:tcPr>
          <w:p w14:paraId="7C5C5656">
            <w:pPr>
              <w:adjustRightInd w:val="0"/>
              <w:snapToGrid w:val="0"/>
              <w:jc w:val="center"/>
              <w:rPr>
                <w:rFonts w:hint="eastAsia"/>
                <w:color w:val="000000" w:themeColor="text1"/>
                <w:szCs w:val="21"/>
                <w14:textFill>
                  <w14:solidFill>
                    <w14:schemeClr w14:val="tx1"/>
                  </w14:solidFill>
                </w14:textFill>
              </w:rPr>
            </w:pPr>
          </w:p>
        </w:tc>
      </w:tr>
      <w:tr w14:paraId="387C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58797B67">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投标报价合计（元）</w:t>
            </w:r>
          </w:p>
        </w:tc>
        <w:tc>
          <w:tcPr>
            <w:tcW w:w="2013" w:type="dxa"/>
            <w:gridSpan w:val="2"/>
            <w:vAlign w:val="center"/>
          </w:tcPr>
          <w:p w14:paraId="06AF3D59">
            <w:pPr>
              <w:adjustRightInd w:val="0"/>
              <w:snapToGrid w:val="0"/>
              <w:jc w:val="center"/>
              <w:rPr>
                <w:rFonts w:hint="eastAsia"/>
                <w:color w:val="000000" w:themeColor="text1"/>
                <w:szCs w:val="21"/>
                <w14:textFill>
                  <w14:solidFill>
                    <w14:schemeClr w14:val="tx1"/>
                  </w14:solidFill>
                </w14:textFill>
              </w:rPr>
            </w:pPr>
          </w:p>
        </w:tc>
      </w:tr>
    </w:tbl>
    <w:p w14:paraId="3A086504">
      <w:pPr>
        <w:spacing w:line="300" w:lineRule="auto"/>
        <w:rPr>
          <w:rFonts w:ascii="Arial" w:hAnsi="Arial" w:cs="Arial"/>
          <w:color w:val="000000" w:themeColor="text1"/>
          <w:szCs w:val="21"/>
          <w14:textFill>
            <w14:solidFill>
              <w14:schemeClr w14:val="tx1"/>
            </w14:solidFill>
          </w14:textFill>
        </w:rPr>
      </w:pPr>
    </w:p>
    <w:p w14:paraId="037BD6A0">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2E7FF426">
      <w:pPr>
        <w:spacing w:line="30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01F01FA0">
      <w:pPr>
        <w:rPr>
          <w:rFonts w:hint="eastAsia"/>
          <w:color w:val="000000" w:themeColor="text1"/>
          <w14:textFill>
            <w14:solidFill>
              <w14:schemeClr w14:val="tx1"/>
            </w14:solidFill>
          </w14:textFill>
        </w:rPr>
      </w:pPr>
    </w:p>
    <w:p w14:paraId="5D33BF7C">
      <w:pPr>
        <w:rPr>
          <w:rFonts w:hint="eastAsia"/>
          <w:color w:val="000000" w:themeColor="text1"/>
          <w14:textFill>
            <w14:solidFill>
              <w14:schemeClr w14:val="tx1"/>
            </w14:solidFill>
          </w14:textFill>
        </w:rPr>
      </w:pPr>
    </w:p>
    <w:p w14:paraId="2A15FB7D">
      <w:pPr>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注：</w:t>
      </w:r>
    </w:p>
    <w:p w14:paraId="3AF994CE">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按照本表填写的各项目的合计价填写到</w:t>
      </w:r>
      <w:r>
        <w:rPr>
          <w:rFonts w:hint="eastAsia"/>
          <w:color w:val="000000" w:themeColor="text1"/>
          <w14:textFill>
            <w14:solidFill>
              <w14:schemeClr w14:val="tx1"/>
            </w14:solidFill>
          </w14:textFill>
        </w:rPr>
        <w:t>《投标一览表》</w:t>
      </w:r>
      <w:r>
        <w:rPr>
          <w:color w:val="000000" w:themeColor="text1"/>
          <w14:textFill>
            <w14:solidFill>
              <w14:schemeClr w14:val="tx1"/>
            </w14:solidFill>
          </w14:textFill>
        </w:rPr>
        <w:t>中对应的栏目中。</w:t>
      </w:r>
    </w:p>
    <w:p w14:paraId="2DD5EA89">
      <w:pPr>
        <w:rPr>
          <w:rFonts w:hint="eastAsia" w:cs="Arial"/>
          <w:color w:val="000000" w:themeColor="text1"/>
          <w:szCs w:val="24"/>
          <w14:textFill>
            <w14:solidFill>
              <w14:schemeClr w14:val="tx1"/>
            </w14:solidFill>
          </w14:textFill>
        </w:rPr>
      </w:pPr>
    </w:p>
    <w:p w14:paraId="6D816C34">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E536409">
      <w:pPr>
        <w:pStyle w:val="5"/>
        <w:numPr>
          <w:ilvl w:val="0"/>
          <w:numId w:val="25"/>
        </w:numPr>
        <w:spacing w:before="0" w:after="0"/>
        <w:ind w:left="0"/>
        <w:rPr>
          <w:rFonts w:hint="eastAsia"/>
          <w:color w:val="000000" w:themeColor="text1"/>
          <w14:textFill>
            <w14:solidFill>
              <w14:schemeClr w14:val="tx1"/>
            </w14:solidFill>
          </w14:textFill>
        </w:rPr>
      </w:pPr>
      <w:bookmarkStart w:id="440" w:name="_Toc25951"/>
      <w:bookmarkStart w:id="441" w:name="_Toc10501"/>
      <w:bookmarkStart w:id="442" w:name="_Toc155185924"/>
      <w:r>
        <w:rPr>
          <w:rFonts w:hint="eastAsia"/>
          <w:color w:val="000000" w:themeColor="text1"/>
          <w14:textFill>
            <w14:solidFill>
              <w14:schemeClr w14:val="tx1"/>
            </w14:solidFill>
          </w14:textFill>
        </w:rPr>
        <w:t>法定代表人（负责人）身份证明</w:t>
      </w:r>
      <w:bookmarkEnd w:id="440"/>
      <w:bookmarkEnd w:id="441"/>
      <w:bookmarkEnd w:id="442"/>
    </w:p>
    <w:p w14:paraId="7AD25001">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投标人名称：</w:t>
      </w:r>
    </w:p>
    <w:p w14:paraId="3D8BAD58">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单位性质：                                       </w:t>
      </w:r>
    </w:p>
    <w:p w14:paraId="64142505">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地    址：                                             </w:t>
      </w:r>
    </w:p>
    <w:p w14:paraId="3D412BD3">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成立时间：  </w:t>
      </w:r>
    </w:p>
    <w:p w14:paraId="6EADAB59">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经营期限：                                          </w:t>
      </w:r>
    </w:p>
    <w:p w14:paraId="42C2958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姓    名：                性别：                   </w:t>
      </w:r>
    </w:p>
    <w:p w14:paraId="229DB9C5">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年龄：                    职务：                     </w:t>
      </w:r>
    </w:p>
    <w:p w14:paraId="2FDBC214">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系                      （投标人名称）的法定代表人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 xml:space="preserve">。 </w:t>
      </w:r>
    </w:p>
    <w:p w14:paraId="3BE1E606">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特此证明。</w:t>
      </w:r>
    </w:p>
    <w:p w14:paraId="465208EB">
      <w:pPr>
        <w:ind w:firstLine="480" w:firstLineChars="200"/>
        <w:rPr>
          <w:rFonts w:hint="eastAsia" w:cs="仿宋_GB2312"/>
          <w:color w:val="000000" w:themeColor="text1"/>
          <w:szCs w:val="24"/>
          <w14:textFill>
            <w14:solidFill>
              <w14:schemeClr w14:val="tx1"/>
            </w14:solidFill>
          </w14:textFill>
        </w:rPr>
      </w:pPr>
    </w:p>
    <w:p w14:paraId="5BF63E6D">
      <w:pPr>
        <w:widowControl/>
        <w:rPr>
          <w:rFonts w:hint="eastAsia"/>
          <w:color w:val="000000" w:themeColor="text1"/>
          <w:sz w:val="21"/>
          <w14:textFill>
            <w14:solidFill>
              <w14:schemeClr w14:val="tx1"/>
            </w14:solidFill>
          </w14:textFill>
        </w:rPr>
      </w:pPr>
    </w:p>
    <w:p w14:paraId="254EDD36">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投标人名称：（盖章）</w:t>
      </w:r>
    </w:p>
    <w:p w14:paraId="5E8CBE94">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日      期：   年  月  日</w:t>
      </w:r>
    </w:p>
    <w:p w14:paraId="3AB5E8C6">
      <w:pPr>
        <w:rPr>
          <w:rFonts w:hint="eastAsia" w:cs="Arial"/>
          <w:color w:val="000000" w:themeColor="text1"/>
          <w:sz w:val="21"/>
          <w:szCs w:val="21"/>
          <w14:textFill>
            <w14:solidFill>
              <w14:schemeClr w14:val="tx1"/>
            </w14:solidFill>
          </w14:textFill>
        </w:rPr>
      </w:pP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03E4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718962F2">
            <w:pPr>
              <w:rPr>
                <w:rFonts w:hint="eastAsia" w:cs="Arial"/>
                <w:color w:val="000000" w:themeColor="text1"/>
                <w14:textFill>
                  <w14:solidFill>
                    <w14:schemeClr w14:val="tx1"/>
                  </w14:solidFill>
                </w14:textFill>
              </w:rPr>
            </w:pPr>
            <w:r>
              <w:rPr>
                <w:rFonts w:hint="eastAsia" w:cs="仿宋_GB2312"/>
                <w:color w:val="000000" w:themeColor="text1"/>
                <w:szCs w:val="24"/>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身份证复印件</w:t>
            </w:r>
          </w:p>
        </w:tc>
      </w:tr>
    </w:tbl>
    <w:p w14:paraId="5E86E819">
      <w:pPr>
        <w:ind w:firstLine="840" w:firstLineChars="350"/>
        <w:jc w:val="center"/>
        <w:rPr>
          <w:rFonts w:hint="eastAsia" w:cs="Arial"/>
          <w:color w:val="000000" w:themeColor="text1"/>
          <w14:textFill>
            <w14:solidFill>
              <w14:schemeClr w14:val="tx1"/>
            </w14:solidFill>
          </w14:textFill>
        </w:rPr>
      </w:pPr>
    </w:p>
    <w:p w14:paraId="30DC3A5A">
      <w:pPr>
        <w:rPr>
          <w:rFonts w:hint="eastAsia"/>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注：法定代表人</w:t>
      </w:r>
      <w:r>
        <w:rPr>
          <w:rFonts w:hint="eastAsia"/>
          <w:b/>
          <w:color w:val="000000" w:themeColor="text1"/>
          <w:sz w:val="28"/>
          <w:szCs w:val="28"/>
          <w14:textFill>
            <w14:solidFill>
              <w14:schemeClr w14:val="tx1"/>
            </w14:solidFill>
          </w14:textFill>
        </w:rPr>
        <w:t>（负责人）</w:t>
      </w:r>
      <w:r>
        <w:rPr>
          <w:b/>
          <w:color w:val="000000" w:themeColor="text1"/>
          <w:sz w:val="28"/>
          <w:szCs w:val="28"/>
          <w14:textFill>
            <w14:solidFill>
              <w14:schemeClr w14:val="tx1"/>
            </w14:solidFill>
          </w14:textFill>
        </w:rPr>
        <w:t>参加投标时提供</w:t>
      </w:r>
    </w:p>
    <w:p w14:paraId="280ED4A7">
      <w:pPr>
        <w:rPr>
          <w:rFonts w:hint="eastAsia"/>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14:paraId="4D8EE1EF">
      <w:pPr>
        <w:pStyle w:val="5"/>
        <w:numPr>
          <w:ilvl w:val="0"/>
          <w:numId w:val="25"/>
        </w:numPr>
        <w:spacing w:before="0" w:after="0"/>
        <w:ind w:left="0"/>
        <w:rPr>
          <w:rFonts w:hint="eastAsia"/>
          <w:color w:val="000000" w:themeColor="text1"/>
          <w14:textFill>
            <w14:solidFill>
              <w14:schemeClr w14:val="tx1"/>
            </w14:solidFill>
          </w14:textFill>
        </w:rPr>
      </w:pPr>
      <w:bookmarkStart w:id="443" w:name="_Toc155185925"/>
      <w:bookmarkStart w:id="444" w:name="_Toc9910"/>
      <w:bookmarkStart w:id="445" w:name="_Toc22132"/>
      <w:r>
        <w:rPr>
          <w:rFonts w:hint="eastAsia"/>
          <w:color w:val="000000" w:themeColor="text1"/>
          <w14:textFill>
            <w14:solidFill>
              <w14:schemeClr w14:val="tx1"/>
            </w14:solidFill>
          </w14:textFill>
        </w:rPr>
        <w:t>法定代表人（负责人）授权书</w:t>
      </w:r>
      <w:bookmarkEnd w:id="443"/>
      <w:bookmarkEnd w:id="444"/>
      <w:bookmarkEnd w:id="445"/>
    </w:p>
    <w:p w14:paraId="0E71B59E">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本人</w:t>
      </w:r>
      <w:r>
        <w:rPr>
          <w:rFonts w:cs="仿宋_GB2312"/>
          <w:color w:val="000000" w:themeColor="text1"/>
          <w:szCs w:val="24"/>
          <w:u w:val="single"/>
          <w14:textFill>
            <w14:solidFill>
              <w14:schemeClr w14:val="tx1"/>
            </w14:solidFill>
          </w14:textFill>
        </w:rPr>
        <w:t xml:space="preserve">     </w:t>
      </w:r>
      <w:r>
        <w:rPr>
          <w:rFonts w:hint="eastAsia" w:cs="仿宋_GB2312"/>
          <w:color w:val="000000" w:themeColor="text1"/>
          <w:szCs w:val="24"/>
          <w:u w:val="single"/>
          <w14:textFill>
            <w14:solidFill>
              <w14:schemeClr w14:val="tx1"/>
            </w14:solidFill>
          </w14:textFill>
        </w:rPr>
        <w:t>（姓名）</w:t>
      </w:r>
      <w:r>
        <w:rPr>
          <w:rFonts w:hint="eastAsia" w:cs="仿宋_GB2312"/>
          <w:color w:val="000000" w:themeColor="text1"/>
          <w:szCs w:val="24"/>
          <w14:textFill>
            <w14:solidFill>
              <w14:schemeClr w14:val="tx1"/>
            </w14:solidFill>
          </w14:textFill>
        </w:rPr>
        <w:t>系</w:t>
      </w:r>
      <w:r>
        <w:rPr>
          <w:rFonts w:hint="eastAsia" w:cs="仿宋_GB2312"/>
          <w:color w:val="000000" w:themeColor="text1"/>
          <w:szCs w:val="24"/>
          <w:u w:val="single"/>
          <w14:textFill>
            <w14:solidFill>
              <w14:schemeClr w14:val="tx1"/>
            </w14:solidFill>
          </w14:textFill>
        </w:rPr>
        <w:t xml:space="preserve">     （投标人名称）</w:t>
      </w:r>
      <w:r>
        <w:rPr>
          <w:rFonts w:hint="eastAsia" w:cs="仿宋_GB2312"/>
          <w:color w:val="000000" w:themeColor="text1"/>
          <w:szCs w:val="24"/>
          <w14:textFill>
            <w14:solidFill>
              <w14:schemeClr w14:val="tx1"/>
            </w14:solidFill>
          </w14:textFill>
        </w:rPr>
        <w:t>的法定代表人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，现委托</w:t>
      </w:r>
      <w:r>
        <w:rPr>
          <w:rFonts w:hint="eastAsia" w:cs="仿宋_GB2312"/>
          <w:color w:val="000000" w:themeColor="text1"/>
          <w:szCs w:val="24"/>
          <w:u w:val="single"/>
          <w14:textFill>
            <w14:solidFill>
              <w14:schemeClr w14:val="tx1"/>
            </w14:solidFill>
          </w14:textFill>
        </w:rPr>
        <w:t xml:space="preserve">     </w:t>
      </w:r>
      <w:r>
        <w:rPr>
          <w:rFonts w:hint="eastAsia" w:cs="仿宋_GB2312"/>
          <w:color w:val="000000" w:themeColor="text1"/>
          <w:szCs w:val="24"/>
          <w14:textFill>
            <w14:solidFill>
              <w14:schemeClr w14:val="tx1"/>
            </w14:solidFill>
          </w14:textFill>
        </w:rPr>
        <w:t>（姓名）为我方代理人。代理人根据授权，以我方名义签署、澄清、说明、补正、递交、撤回、修改</w:t>
      </w:r>
      <w:r>
        <w:rPr>
          <w:rFonts w:hint="eastAsia" w:cs="仿宋_GB2312"/>
          <w:color w:val="000000" w:themeColor="text1"/>
          <w:szCs w:val="24"/>
          <w:u w:val="single"/>
          <w14:textFill>
            <w14:solidFill>
              <w14:schemeClr w14:val="tx1"/>
            </w14:solidFill>
          </w14:textFill>
        </w:rPr>
        <w:t xml:space="preserve">     </w:t>
      </w:r>
      <w:r>
        <w:rPr>
          <w:rFonts w:hint="eastAsia" w:cs="仿宋_GB2312"/>
          <w:color w:val="000000" w:themeColor="text1"/>
          <w:szCs w:val="24"/>
          <w14:textFill>
            <w14:solidFill>
              <w14:schemeClr w14:val="tx1"/>
            </w14:solidFill>
          </w14:textFill>
        </w:rPr>
        <w:t>（项目名称）投标文件、签订合同和处理有关事宜，其法律后果由我方承担。</w:t>
      </w:r>
    </w:p>
    <w:p w14:paraId="736848D9">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委托期限：                   </w:t>
      </w:r>
    </w:p>
    <w:p w14:paraId="23D52C9A">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代理人无转委托权。</w:t>
      </w:r>
    </w:p>
    <w:p w14:paraId="74C0DB00">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身份证明</w:t>
      </w:r>
    </w:p>
    <w:p w14:paraId="453D5381">
      <w:pPr>
        <w:ind w:firstLine="480" w:firstLineChars="200"/>
        <w:rPr>
          <w:rFonts w:hint="eastAsia" w:cs="仿宋_GB2312"/>
          <w:color w:val="000000" w:themeColor="text1"/>
          <w:szCs w:val="24"/>
          <w14:textFill>
            <w14:solidFill>
              <w14:schemeClr w14:val="tx1"/>
            </w14:solidFill>
          </w14:textFill>
        </w:rPr>
      </w:pPr>
    </w:p>
    <w:p w14:paraId="1CD45A14">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投标人：（盖单位章）</w:t>
      </w:r>
    </w:p>
    <w:p w14:paraId="26F8075F">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w:t>
      </w:r>
    </w:p>
    <w:p w14:paraId="294042E0">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身份证号码：   </w:t>
      </w:r>
    </w:p>
    <w:p w14:paraId="3A512D44">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委托代理人：</w:t>
      </w:r>
      <w:r>
        <w:rPr>
          <w:rFonts w:cs="仿宋_GB2312"/>
          <w:color w:val="000000" w:themeColor="text1"/>
          <w:szCs w:val="24"/>
          <w14:textFill>
            <w14:solidFill>
              <w14:schemeClr w14:val="tx1"/>
            </w14:solidFill>
          </w14:textFill>
        </w:rPr>
        <w:t xml:space="preserve"> </w:t>
      </w:r>
    </w:p>
    <w:p w14:paraId="29F07C5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身份证号码：</w:t>
      </w:r>
    </w:p>
    <w:p w14:paraId="3BE0F187">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日      期：</w:t>
      </w:r>
    </w:p>
    <w:p w14:paraId="6E74C992">
      <w:pPr>
        <w:pStyle w:val="93"/>
        <w:spacing w:line="300" w:lineRule="auto"/>
        <w:ind w:firstLine="3990" w:firstLineChars="1900"/>
        <w:rPr>
          <w:rFonts w:hint="eastAsia" w:ascii="宋体" w:hAnsi="宋体" w:cs="Arial"/>
          <w:color w:val="000000" w:themeColor="text1"/>
          <w:sz w:val="21"/>
          <w:szCs w:val="21"/>
          <w14:textFill>
            <w14:solidFill>
              <w14:schemeClr w14:val="tx1"/>
            </w14:solidFill>
          </w14:textFill>
        </w:rPr>
      </w:pPr>
    </w:p>
    <w:p w14:paraId="45E2EA7E">
      <w:pPr>
        <w:rPr>
          <w:rFonts w:hint="eastAsia" w:cs="Arial"/>
          <w:color w:val="000000" w:themeColor="text1"/>
          <w14:textFill>
            <w14:solidFill>
              <w14:schemeClr w14:val="tx1"/>
            </w14:solidFill>
          </w14:textFill>
        </w:rPr>
      </w:pPr>
    </w:p>
    <w:tbl>
      <w:tblPr>
        <w:tblStyle w:val="8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8BF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229724CF">
            <w:pPr>
              <w:rPr>
                <w:rFonts w:hint="eastAsia" w:cs="Arial"/>
                <w:color w:val="000000" w:themeColor="text1"/>
                <w14:textFill>
                  <w14:solidFill>
                    <w14:schemeClr w14:val="tx1"/>
                  </w14:solidFill>
                </w14:textFill>
              </w:rPr>
            </w:pPr>
            <w:r>
              <w:rPr>
                <w:rFonts w:hint="eastAsia" w:cs="仿宋_GB2312"/>
                <w:color w:val="000000" w:themeColor="text1"/>
                <w:szCs w:val="24"/>
                <w14:textFill>
                  <w14:solidFill>
                    <w14:schemeClr w14:val="tx1"/>
                  </w14:solidFill>
                </w14:textFill>
              </w:rPr>
              <w:t>附：法定代表人</w:t>
            </w:r>
            <w:r>
              <w:rPr>
                <w:rFonts w:hint="eastAsia"/>
                <w:color w:val="000000" w:themeColor="text1"/>
                <w14:textFill>
                  <w14:solidFill>
                    <w14:schemeClr w14:val="tx1"/>
                  </w14:solidFill>
                </w14:textFill>
              </w:rPr>
              <w:t>（负责人）</w:t>
            </w:r>
            <w:r>
              <w:rPr>
                <w:rFonts w:hint="eastAsia" w:cs="仿宋_GB2312"/>
                <w:color w:val="000000" w:themeColor="text1"/>
                <w:szCs w:val="24"/>
                <w14:textFill>
                  <w14:solidFill>
                    <w14:schemeClr w14:val="tx1"/>
                  </w14:solidFill>
                </w14:textFill>
              </w:rPr>
              <w:t>和授权代表身份证复印件(正反面)</w:t>
            </w:r>
          </w:p>
        </w:tc>
      </w:tr>
    </w:tbl>
    <w:p w14:paraId="18C1F436">
      <w:pPr>
        <w:rPr>
          <w:rFonts w:hint="eastAsia"/>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注：</w:t>
      </w:r>
      <w:r>
        <w:rPr>
          <w:rFonts w:hint="eastAsia"/>
          <w:b/>
          <w:color w:val="000000" w:themeColor="text1"/>
          <w:sz w:val="28"/>
          <w:szCs w:val="28"/>
          <w14:textFill>
            <w14:solidFill>
              <w14:schemeClr w14:val="tx1"/>
            </w14:solidFill>
          </w14:textFill>
        </w:rPr>
        <w:t>授权</w:t>
      </w:r>
      <w:r>
        <w:rPr>
          <w:b/>
          <w:color w:val="000000" w:themeColor="text1"/>
          <w:sz w:val="28"/>
          <w:szCs w:val="28"/>
          <w14:textFill>
            <w14:solidFill>
              <w14:schemeClr w14:val="tx1"/>
            </w14:solidFill>
          </w14:textFill>
        </w:rPr>
        <w:t>代表人参加投标时提供</w:t>
      </w:r>
    </w:p>
    <w:p w14:paraId="38D0DBCB">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E21597A">
      <w:pPr>
        <w:pStyle w:val="4"/>
        <w:numPr>
          <w:ilvl w:val="0"/>
          <w:numId w:val="24"/>
        </w:numPr>
        <w:spacing w:before="0" w:after="0"/>
        <w:ind w:left="0"/>
        <w:rPr>
          <w:rFonts w:hint="eastAsia"/>
          <w:color w:val="000000" w:themeColor="text1"/>
          <w:lang w:val="zh-CN"/>
          <w14:textFill>
            <w14:solidFill>
              <w14:schemeClr w14:val="tx1"/>
            </w14:solidFill>
          </w14:textFill>
        </w:rPr>
      </w:pPr>
      <w:bookmarkStart w:id="446" w:name="_Toc12140"/>
      <w:bookmarkStart w:id="447" w:name="_Toc155185926"/>
      <w:r>
        <w:rPr>
          <w:rFonts w:hint="eastAsia"/>
          <w:color w:val="000000" w:themeColor="text1"/>
          <w:lang w:val="zh-CN"/>
          <w14:textFill>
            <w14:solidFill>
              <w14:schemeClr w14:val="tx1"/>
            </w14:solidFill>
          </w14:textFill>
        </w:rPr>
        <w:t>资格证明文件</w:t>
      </w:r>
      <w:bookmarkEnd w:id="446"/>
      <w:bookmarkEnd w:id="447"/>
    </w:p>
    <w:p w14:paraId="7CBEC36E">
      <w:pPr>
        <w:ind w:firstLine="480" w:firstLineChars="200"/>
        <w:rPr>
          <w:rFonts w:hint="eastAsia" w:cs="仿宋_GB2312"/>
          <w:color w:val="000000" w:themeColor="text1"/>
          <w:szCs w:val="24"/>
          <w:lang w:val="zh-CN"/>
          <w14:textFill>
            <w14:solidFill>
              <w14:schemeClr w14:val="tx1"/>
            </w14:solidFill>
          </w14:textFill>
        </w:rPr>
      </w:pPr>
      <w:r>
        <w:rPr>
          <w:rFonts w:hint="eastAsia" w:cs="仿宋_GB2312"/>
          <w:color w:val="000000" w:themeColor="text1"/>
          <w:szCs w:val="24"/>
          <w:lang w:val="zh-CN"/>
          <w14:textFill>
            <w14:solidFill>
              <w14:schemeClr w14:val="tx1"/>
            </w14:solidFill>
          </w14:textFill>
        </w:rPr>
        <w:t>封面：</w:t>
      </w:r>
    </w:p>
    <w:p w14:paraId="530744BF">
      <w:pPr>
        <w:autoSpaceDE w:val="0"/>
        <w:autoSpaceDN w:val="0"/>
        <w:adjustRightInd w:val="0"/>
        <w:rPr>
          <w:rFonts w:hint="eastAsia"/>
          <w:color w:val="000000" w:themeColor="text1"/>
          <w:sz w:val="21"/>
          <w:szCs w:val="24"/>
          <w14:textFill>
            <w14:solidFill>
              <w14:schemeClr w14:val="tx1"/>
            </w14:solidFill>
          </w14:textFill>
        </w:rPr>
      </w:pPr>
    </w:p>
    <w:p w14:paraId="26AB27B2">
      <w:pPr>
        <w:autoSpaceDE w:val="0"/>
        <w:autoSpaceDN w:val="0"/>
        <w:adjustRightInd w:val="0"/>
        <w:rPr>
          <w:rFonts w:hint="eastAsia"/>
          <w:color w:val="000000" w:themeColor="text1"/>
          <w:sz w:val="21"/>
          <w:szCs w:val="24"/>
          <w14:textFill>
            <w14:solidFill>
              <w14:schemeClr w14:val="tx1"/>
            </w14:solidFill>
          </w14:textFill>
        </w:rPr>
      </w:pPr>
    </w:p>
    <w:p w14:paraId="79D969D6">
      <w:pPr>
        <w:autoSpaceDE w:val="0"/>
        <w:autoSpaceDN w:val="0"/>
        <w:adjustRightInd w:val="0"/>
        <w:jc w:val="center"/>
        <w:rPr>
          <w:rFonts w:hint="eastAsia"/>
          <w:color w:val="000000" w:themeColor="text1"/>
          <w:sz w:val="21"/>
          <w:szCs w:val="24"/>
          <w14:textFill>
            <w14:solidFill>
              <w14:schemeClr w14:val="tx1"/>
            </w14:solidFill>
          </w14:textFill>
        </w:rPr>
      </w:pPr>
    </w:p>
    <w:p w14:paraId="3CD821AF">
      <w:pPr>
        <w:autoSpaceDE w:val="0"/>
        <w:autoSpaceDN w:val="0"/>
        <w:adjustRightInd w:val="0"/>
        <w:jc w:val="center"/>
        <w:rPr>
          <w:rFonts w:hint="eastAsia"/>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投 标 文 件</w:t>
      </w:r>
    </w:p>
    <w:p w14:paraId="0E052BF0">
      <w:pPr>
        <w:autoSpaceDE w:val="0"/>
        <w:autoSpaceDN w:val="0"/>
        <w:adjustRightInd w:val="0"/>
        <w:jc w:val="center"/>
        <w:rPr>
          <w:rFonts w:hint="eastAsia"/>
          <w:b/>
          <w:color w:val="000000" w:themeColor="text1"/>
          <w:sz w:val="56"/>
          <w:szCs w:val="56"/>
          <w14:textFill>
            <w14:solidFill>
              <w14:schemeClr w14:val="tx1"/>
            </w14:solidFill>
          </w14:textFill>
        </w:rPr>
      </w:pPr>
      <w:r>
        <w:rPr>
          <w:rFonts w:hint="eastAsia"/>
          <w:b/>
          <w:color w:val="000000" w:themeColor="text1"/>
          <w:sz w:val="56"/>
          <w:szCs w:val="56"/>
          <w14:textFill>
            <w14:solidFill>
              <w14:schemeClr w14:val="tx1"/>
            </w14:solidFill>
          </w14:textFill>
        </w:rPr>
        <w:t>资格证明文件</w:t>
      </w:r>
    </w:p>
    <w:p w14:paraId="2D6AAC95">
      <w:pPr>
        <w:autoSpaceDE w:val="0"/>
        <w:autoSpaceDN w:val="0"/>
        <w:adjustRightInd w:val="0"/>
        <w:rPr>
          <w:rFonts w:hint="eastAsia"/>
          <w:b/>
          <w:bCs/>
          <w:color w:val="000000" w:themeColor="text1"/>
          <w:sz w:val="22"/>
          <w14:textFill>
            <w14:solidFill>
              <w14:schemeClr w14:val="tx1"/>
            </w14:solidFill>
          </w14:textFill>
        </w:rPr>
      </w:pPr>
    </w:p>
    <w:p w14:paraId="3D4842FE">
      <w:pPr>
        <w:autoSpaceDE w:val="0"/>
        <w:autoSpaceDN w:val="0"/>
        <w:adjustRightInd w:val="0"/>
        <w:rPr>
          <w:rFonts w:hint="eastAsia"/>
          <w:color w:val="000000" w:themeColor="text1"/>
          <w:sz w:val="21"/>
          <w:szCs w:val="21"/>
          <w14:textFill>
            <w14:solidFill>
              <w14:schemeClr w14:val="tx1"/>
            </w14:solidFill>
          </w14:textFill>
        </w:rPr>
      </w:pPr>
    </w:p>
    <w:p w14:paraId="02D0D2FE">
      <w:pPr>
        <w:autoSpaceDE w:val="0"/>
        <w:autoSpaceDN w:val="0"/>
        <w:adjustRightInd w:val="0"/>
        <w:rPr>
          <w:rFonts w:hint="eastAsia"/>
          <w:color w:val="000000" w:themeColor="text1"/>
          <w:sz w:val="21"/>
          <w:szCs w:val="21"/>
          <w14:textFill>
            <w14:solidFill>
              <w14:schemeClr w14:val="tx1"/>
            </w14:solidFill>
          </w14:textFill>
        </w:rPr>
      </w:pPr>
    </w:p>
    <w:p w14:paraId="2699125E">
      <w:pPr>
        <w:autoSpaceDE w:val="0"/>
        <w:autoSpaceDN w:val="0"/>
        <w:adjustRightInd w:val="0"/>
        <w:rPr>
          <w:rFonts w:hint="eastAsia"/>
          <w:color w:val="000000" w:themeColor="text1"/>
          <w:sz w:val="21"/>
          <w:szCs w:val="21"/>
          <w14:textFill>
            <w14:solidFill>
              <w14:schemeClr w14:val="tx1"/>
            </w14:solidFill>
          </w14:textFill>
        </w:rPr>
      </w:pPr>
    </w:p>
    <w:p w14:paraId="624A4289">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r>
        <w:rPr>
          <w:rFonts w:ascii="黑体" w:hAnsi="黑体" w:eastAsia="黑体"/>
          <w:color w:val="000000" w:themeColor="text1"/>
          <w:sz w:val="32"/>
          <w:szCs w:val="32"/>
          <w:u w:val="single"/>
          <w14:textFill>
            <w14:solidFill>
              <w14:schemeClr w14:val="tx1"/>
            </w14:solidFill>
          </w14:textFill>
        </w:rPr>
        <w:t xml:space="preserve">                                  </w:t>
      </w:r>
    </w:p>
    <w:p w14:paraId="711B5275">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36B0DEC7">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3180C7A1">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采购包编号：</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7D4E9C1E">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采购包名称：</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76CA74F0">
      <w:pPr>
        <w:ind w:left="420" w:leftChars="175"/>
        <w:rPr>
          <w:rFonts w:hint="eastAsia" w:ascii="黑体" w:hAnsi="黑体" w:eastAsia="黑体"/>
          <w:color w:val="000000" w:themeColor="text1"/>
          <w:sz w:val="32"/>
          <w:szCs w:val="32"/>
          <w14:textFill>
            <w14:solidFill>
              <w14:schemeClr w14:val="tx1"/>
            </w14:solidFill>
          </w14:textFill>
        </w:rPr>
      </w:pPr>
      <w:r>
        <w:rPr>
          <w:rFonts w:hint="eastAsia"/>
          <w:b/>
          <w:bCs/>
          <w:color w:val="000000" w:themeColor="text1"/>
          <w:sz w:val="28"/>
          <w:szCs w:val="28"/>
          <w14:textFill>
            <w14:solidFill>
              <w14:schemeClr w14:val="tx1"/>
            </w14:solidFill>
          </w14:textFill>
        </w:rPr>
        <w:t>投标人</w:t>
      </w:r>
      <w:r>
        <w:rPr>
          <w:rFonts w:hint="eastAsia" w:ascii="黑体" w:hAnsi="黑体" w:eastAsia="黑体"/>
          <w:color w:val="000000" w:themeColor="text1"/>
          <w:sz w:val="32"/>
          <w:szCs w:val="32"/>
          <w14:textFill>
            <w14:solidFill>
              <w14:schemeClr w14:val="tx1"/>
            </w14:solidFill>
          </w14:textFill>
        </w:rPr>
        <w:t>：</w:t>
      </w:r>
      <w:r>
        <w:rPr>
          <w:rFonts w:ascii="黑体" w:hAnsi="黑体" w:eastAsia="黑体"/>
          <w:color w:val="000000" w:themeColor="text1"/>
          <w:sz w:val="32"/>
          <w:szCs w:val="32"/>
          <w:u w:val="single"/>
          <w14:textFill>
            <w14:solidFill>
              <w14:schemeClr w14:val="tx1"/>
            </w14:solidFill>
          </w14:textFill>
        </w:rPr>
        <w:t xml:space="preserve">                                          </w:t>
      </w:r>
    </w:p>
    <w:p w14:paraId="32D05CD7">
      <w:pPr>
        <w:ind w:firstLine="420"/>
        <w:rPr>
          <w:rFonts w:hint="eastAsia"/>
          <w:b/>
          <w:bCs/>
          <w:color w:val="000000" w:themeColor="text1"/>
          <w:sz w:val="28"/>
          <w:szCs w:val="28"/>
          <w14:textFill>
            <w14:solidFill>
              <w14:schemeClr w14:val="tx1"/>
            </w14:solidFill>
          </w14:textFill>
        </w:rPr>
      </w:pPr>
    </w:p>
    <w:p w14:paraId="23888B57">
      <w:pPr>
        <w:ind w:firstLine="420"/>
        <w:rPr>
          <w:rFonts w:hint="eastAsia"/>
          <w:b/>
          <w:bCs/>
          <w:color w:val="000000" w:themeColor="text1"/>
          <w:sz w:val="28"/>
          <w:szCs w:val="28"/>
          <w14:textFill>
            <w14:solidFill>
              <w14:schemeClr w14:val="tx1"/>
            </w14:solidFill>
          </w14:textFill>
        </w:rPr>
      </w:pPr>
    </w:p>
    <w:p w14:paraId="20962961">
      <w:pPr>
        <w:ind w:firstLine="420"/>
        <w:rPr>
          <w:rFonts w:hint="eastAsia"/>
          <w:b/>
          <w:bCs/>
          <w:color w:val="000000" w:themeColor="text1"/>
          <w:sz w:val="28"/>
          <w:szCs w:val="28"/>
          <w14:textFill>
            <w14:solidFill>
              <w14:schemeClr w14:val="tx1"/>
            </w14:solidFill>
          </w14:textFill>
        </w:rPr>
      </w:pPr>
    </w:p>
    <w:p w14:paraId="24B1B8CA">
      <w:pPr>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年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月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日</w:t>
      </w:r>
    </w:p>
    <w:p w14:paraId="4207C610">
      <w:pPr>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59316F99">
      <w:pPr>
        <w:pStyle w:val="5"/>
        <w:numPr>
          <w:ilvl w:val="0"/>
          <w:numId w:val="29"/>
        </w:numPr>
        <w:spacing w:before="0" w:after="0"/>
        <w:ind w:left="0"/>
        <w:rPr>
          <w:rFonts w:hint="eastAsia"/>
          <w:color w:val="000000" w:themeColor="text1"/>
          <w14:textFill>
            <w14:solidFill>
              <w14:schemeClr w14:val="tx1"/>
            </w14:solidFill>
          </w14:textFill>
        </w:rPr>
      </w:pPr>
      <w:bookmarkStart w:id="448" w:name="_Toc155185927"/>
      <w:bookmarkStart w:id="449" w:name="_Toc6414"/>
      <w:bookmarkStart w:id="450" w:name="_Toc30024"/>
      <w:r>
        <w:rPr>
          <w:rFonts w:hint="eastAsia"/>
          <w:color w:val="000000" w:themeColor="text1"/>
          <w14:textFill>
            <w14:solidFill>
              <w14:schemeClr w14:val="tx1"/>
            </w14:solidFill>
          </w14:textFill>
        </w:rPr>
        <w:t>企业法人营业执照、事业单位法人证书或团体组织法人证书</w:t>
      </w:r>
      <w:bookmarkEnd w:id="448"/>
      <w:bookmarkEnd w:id="449"/>
      <w:bookmarkEnd w:id="450"/>
    </w:p>
    <w:p w14:paraId="071AFF48">
      <w:pPr>
        <w:pStyle w:val="5"/>
        <w:numPr>
          <w:ilvl w:val="0"/>
          <w:numId w:val="29"/>
        </w:numPr>
        <w:spacing w:before="0" w:after="0"/>
        <w:ind w:left="0"/>
        <w:rPr>
          <w:rFonts w:hint="eastAsia"/>
          <w:color w:val="000000" w:themeColor="text1"/>
          <w14:textFill>
            <w14:solidFill>
              <w14:schemeClr w14:val="tx1"/>
            </w14:solidFill>
          </w14:textFill>
        </w:rPr>
      </w:pPr>
      <w:bookmarkStart w:id="451" w:name="_Toc5160"/>
      <w:bookmarkStart w:id="452" w:name="_Toc28972"/>
      <w:bookmarkStart w:id="453" w:name="_Toc155185928"/>
      <w:r>
        <w:rPr>
          <w:rFonts w:hint="eastAsia"/>
          <w:color w:val="000000" w:themeColor="text1"/>
          <w14:textFill>
            <w14:solidFill>
              <w14:schemeClr w14:val="tx1"/>
            </w14:solidFill>
          </w14:textFill>
        </w:rPr>
        <w:t>资格条件承诺书</w:t>
      </w:r>
      <w:bookmarkEnd w:id="451"/>
      <w:bookmarkEnd w:id="452"/>
      <w:bookmarkEnd w:id="453"/>
    </w:p>
    <w:p w14:paraId="7E9318CC">
      <w:pPr>
        <w:adjustRightInd w:val="0"/>
        <w:snapToGrid w:val="0"/>
        <w:rPr>
          <w:rFonts w:hint="eastAsia"/>
          <w:color w:val="000000" w:themeColor="text1"/>
          <w:szCs w:val="21"/>
          <w14:textFill>
            <w14:solidFill>
              <w14:schemeClr w14:val="tx1"/>
            </w14:solidFill>
          </w14:textFill>
        </w:rPr>
      </w:pPr>
      <w:bookmarkStart w:id="454" w:name="_Hlk161693574"/>
      <w:bookmarkStart w:id="455" w:name="_Hlk161693525"/>
      <w:r>
        <w:rPr>
          <w:rFonts w:hint="eastAsia"/>
          <w:color w:val="000000" w:themeColor="text1"/>
          <w:szCs w:val="21"/>
          <w14:textFill>
            <w14:solidFill>
              <w14:schemeClr w14:val="tx1"/>
            </w14:solidFill>
          </w14:textFill>
        </w:rPr>
        <w:t>致</w:t>
      </w:r>
      <w:r>
        <w:rPr>
          <w:rFonts w:cs="Arial"/>
          <w:color w:val="000000" w:themeColor="text1"/>
          <w:szCs w:val="21"/>
          <w14:textFill>
            <w14:solidFill>
              <w14:schemeClr w14:val="tx1"/>
            </w14:solidFill>
          </w14:textFill>
        </w:rPr>
        <w:t>：</w:t>
      </w:r>
      <w:r>
        <w:rPr>
          <w:rFonts w:hint="eastAsia" w:cs="Arial"/>
          <w:color w:val="000000" w:themeColor="text1"/>
          <w:szCs w:val="21"/>
          <w:u w:val="single"/>
          <w14:textFill>
            <w14:solidFill>
              <w14:schemeClr w14:val="tx1"/>
            </w14:solidFill>
          </w14:textFill>
        </w:rPr>
        <w:t>采购人/采购代理机构</w:t>
      </w:r>
    </w:p>
    <w:p w14:paraId="60DCC096">
      <w:pPr>
        <w:adjustRightInd w:val="0"/>
        <w:snapToGrid w:val="0"/>
        <w:ind w:firstLine="48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我方承诺完全</w:t>
      </w:r>
      <w:r>
        <w:rPr>
          <w:color w:val="000000" w:themeColor="text1"/>
          <w:szCs w:val="21"/>
          <w14:textFill>
            <w14:solidFill>
              <w14:schemeClr w14:val="tx1"/>
            </w14:solidFill>
          </w14:textFill>
        </w:rPr>
        <w:t>满足</w:t>
      </w:r>
      <w:r>
        <w:rPr>
          <w:rFonts w:hint="eastAsia"/>
          <w:color w:val="000000" w:themeColor="text1"/>
          <w:szCs w:val="21"/>
          <w14:textFill>
            <w14:solidFill>
              <w14:schemeClr w14:val="tx1"/>
            </w14:solidFill>
          </w14:textFill>
        </w:rPr>
        <w:t>招标文件对投标人的资格要求：</w:t>
      </w:r>
    </w:p>
    <w:p w14:paraId="71DE3EFB">
      <w:pPr>
        <w:adjustRightInd w:val="0"/>
        <w:snapToGrid w:val="0"/>
        <w:ind w:firstLine="480" w:firstLineChars="20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1.满足《中华人民共和国政府采购法》第二十二条规定；</w:t>
      </w:r>
    </w:p>
    <w:p w14:paraId="243BC457">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（1）</w:t>
      </w:r>
      <w:r>
        <w:rPr>
          <w:rFonts w:cs="Segoe UI"/>
          <w:color w:val="000000" w:themeColor="text1"/>
          <w:szCs w:val="21"/>
          <w14:textFill>
            <w14:solidFill>
              <w14:schemeClr w14:val="tx1"/>
            </w14:solidFill>
          </w14:textFill>
        </w:rPr>
        <w:t>具有独立承担民事责任的能力；</w:t>
      </w:r>
    </w:p>
    <w:p w14:paraId="1877AD06">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（2）</w:t>
      </w:r>
      <w:r>
        <w:rPr>
          <w:rFonts w:cs="Segoe UI"/>
          <w:color w:val="000000" w:themeColor="text1"/>
          <w:szCs w:val="21"/>
          <w14:textFill>
            <w14:solidFill>
              <w14:schemeClr w14:val="tx1"/>
            </w14:solidFill>
          </w14:textFill>
        </w:rPr>
        <w:t>具有良好的商业信誉和健全的财务会计制度</w:t>
      </w:r>
      <w:r>
        <w:rPr>
          <w:rFonts w:hint="eastAsia" w:cs="Segoe UI"/>
          <w:color w:val="000000" w:themeColor="text1"/>
          <w:szCs w:val="21"/>
          <w14:textFill>
            <w14:solidFill>
              <w14:schemeClr w14:val="tx1"/>
            </w14:solidFill>
          </w14:textFill>
        </w:rPr>
        <w:t>；</w:t>
      </w:r>
    </w:p>
    <w:p w14:paraId="231C5591">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（3）</w:t>
      </w:r>
      <w:r>
        <w:rPr>
          <w:rFonts w:cs="Segoe UI"/>
          <w:color w:val="000000" w:themeColor="text1"/>
          <w:szCs w:val="21"/>
          <w14:textFill>
            <w14:solidFill>
              <w14:schemeClr w14:val="tx1"/>
            </w14:solidFill>
          </w14:textFill>
        </w:rPr>
        <w:t>具有履行合同所必需的设备和专业技术能力；</w:t>
      </w:r>
    </w:p>
    <w:p w14:paraId="00BAC358">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（4）</w:t>
      </w:r>
      <w:r>
        <w:rPr>
          <w:rFonts w:cs="Segoe UI"/>
          <w:color w:val="000000" w:themeColor="text1"/>
          <w:szCs w:val="21"/>
          <w14:textFill>
            <w14:solidFill>
              <w14:schemeClr w14:val="tx1"/>
            </w14:solidFill>
          </w14:textFill>
        </w:rPr>
        <w:t>有依法缴纳税收和社会保障资金的良好记录；</w:t>
      </w:r>
    </w:p>
    <w:p w14:paraId="6795F42A">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（5）</w:t>
      </w:r>
      <w:r>
        <w:rPr>
          <w:rFonts w:cs="Segoe UI"/>
          <w:color w:val="000000" w:themeColor="text1"/>
          <w:szCs w:val="21"/>
          <w14:textFill>
            <w14:solidFill>
              <w14:schemeClr w14:val="tx1"/>
            </w14:solidFill>
          </w14:textFill>
        </w:rPr>
        <w:t>参加政府采购活动前三年内，在经营活动中没有重大违法记录：</w:t>
      </w:r>
    </w:p>
    <w:p w14:paraId="30E4BD2B">
      <w:pPr>
        <w:pStyle w:val="92"/>
        <w:numPr>
          <w:ilvl w:val="0"/>
          <w:numId w:val="30"/>
        </w:numPr>
        <w:adjustRightInd w:val="0"/>
        <w:snapToGrid w:val="0"/>
        <w:ind w:left="0"/>
        <w:rPr>
          <w:rFonts w:hint="eastAsia"/>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未因违法经营被追究过刑事责任；</w:t>
      </w:r>
    </w:p>
    <w:p w14:paraId="51CED2DD">
      <w:pPr>
        <w:pStyle w:val="92"/>
        <w:numPr>
          <w:ilvl w:val="0"/>
          <w:numId w:val="30"/>
        </w:numPr>
        <w:adjustRightInd w:val="0"/>
        <w:snapToGrid w:val="0"/>
        <w:ind w:left="0"/>
        <w:rPr>
          <w:rFonts w:hint="eastAsia"/>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未因违法经营被责令停产停业、吊销许可证或者执照；</w:t>
      </w:r>
    </w:p>
    <w:p w14:paraId="309D34DC">
      <w:pPr>
        <w:pStyle w:val="92"/>
        <w:numPr>
          <w:ilvl w:val="0"/>
          <w:numId w:val="30"/>
        </w:numPr>
        <w:adjustRightInd w:val="0"/>
        <w:snapToGrid w:val="0"/>
        <w:ind w:left="0"/>
        <w:rPr>
          <w:rFonts w:hint="eastAsia"/>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olor w:val="000000" w:themeColor="text1"/>
          <w:szCs w:val="21"/>
          <w:shd w:val="clear" w:color="auto" w:fill="FFFFFF"/>
          <w14:textFill>
            <w14:solidFill>
              <w14:schemeClr w14:val="tx1"/>
            </w14:solidFill>
          </w14:textFill>
        </w:rPr>
        <w:t>未因违法经营被处以较大数额罚款等行政处罚。</w:t>
      </w:r>
    </w:p>
    <w:p w14:paraId="5E5BD24A">
      <w:pPr>
        <w:widowControl/>
        <w:adjustRightInd w:val="0"/>
        <w:snapToGrid w:val="0"/>
        <w:ind w:firstLine="420"/>
        <w:rPr>
          <w:rFonts w:hint="eastAsia" w:cs="Segoe UI"/>
          <w:color w:val="000000" w:themeColor="text1"/>
          <w:szCs w:val="21"/>
          <w14:textFill>
            <w14:solidFill>
              <w14:schemeClr w14:val="tx1"/>
            </w14:solidFill>
          </w14:textFill>
        </w:rPr>
      </w:pPr>
      <w:r>
        <w:rPr>
          <w:rFonts w:hint="eastAsia" w:cs="Segoe UI"/>
          <w:color w:val="000000" w:themeColor="text1"/>
          <w:szCs w:val="21"/>
          <w14:textFill>
            <w14:solidFill>
              <w14:schemeClr w14:val="tx1"/>
            </w14:solidFill>
          </w14:textFill>
        </w:rPr>
        <w:t>（</w:t>
      </w:r>
      <w:r>
        <w:rPr>
          <w:rFonts w:cs="Segoe UI"/>
          <w:color w:val="000000" w:themeColor="text1"/>
          <w:szCs w:val="21"/>
          <w14:textFill>
            <w14:solidFill>
              <w14:schemeClr w14:val="tx1"/>
            </w14:solidFill>
          </w14:textFill>
        </w:rPr>
        <w:t>6</w:t>
      </w:r>
      <w:r>
        <w:rPr>
          <w:rFonts w:hint="eastAsia" w:cs="Segoe UI"/>
          <w:color w:val="000000" w:themeColor="text1"/>
          <w:szCs w:val="21"/>
          <w14:textFill>
            <w14:solidFill>
              <w14:schemeClr w14:val="tx1"/>
            </w14:solidFill>
          </w14:textFill>
        </w:rPr>
        <w:t>）满足</w:t>
      </w:r>
      <w:r>
        <w:rPr>
          <w:rFonts w:cs="Segoe UI"/>
          <w:color w:val="000000" w:themeColor="text1"/>
          <w:szCs w:val="21"/>
          <w14:textFill>
            <w14:solidFill>
              <w14:schemeClr w14:val="tx1"/>
            </w14:solidFill>
          </w14:textFill>
        </w:rPr>
        <w:t>法律、行政法规规定的其他条件。</w:t>
      </w:r>
    </w:p>
    <w:p w14:paraId="1AD0BBC2">
      <w:pPr>
        <w:adjustRightInd w:val="0"/>
        <w:snapToGrid w:val="0"/>
        <w:ind w:firstLine="480" w:firstLineChars="20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2.我</w:t>
      </w:r>
      <w:r>
        <w:rPr>
          <w:rFonts w:hint="eastAsia"/>
          <w:color w:val="000000" w:themeColor="text1"/>
          <w:szCs w:val="21"/>
          <w14:textFill>
            <w14:solidFill>
              <w14:schemeClr w14:val="tx1"/>
            </w14:solidFill>
          </w14:textFill>
        </w:rPr>
        <w:t>方</w:t>
      </w:r>
      <w:r>
        <w:rPr>
          <w:rFonts w:hint="eastAsia" w:cs="宋体"/>
          <w:color w:val="000000" w:themeColor="text1"/>
          <w:szCs w:val="21"/>
          <w14:textFill>
            <w14:solidFill>
              <w14:schemeClr w14:val="tx1"/>
            </w14:solidFill>
          </w14:textFill>
        </w:rPr>
        <w:t>未被列入失信被执行人、重大税收违法案件当事人名单，未被列入政府采购严重违法失信行为记录名单。</w:t>
      </w:r>
    </w:p>
    <w:p w14:paraId="72E55F25">
      <w:pPr>
        <w:adjustRightInd w:val="0"/>
        <w:snapToGrid w:val="0"/>
        <w:ind w:firstLine="480" w:firstLineChars="200"/>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我</w:t>
      </w:r>
      <w:r>
        <w:rPr>
          <w:rFonts w:hint="eastAsia"/>
          <w:color w:val="000000" w:themeColor="text1"/>
          <w:szCs w:val="21"/>
          <w14:textFill>
            <w14:solidFill>
              <w14:schemeClr w14:val="tx1"/>
            </w14:solidFill>
          </w14:textFill>
        </w:rPr>
        <w:t>方</w:t>
      </w:r>
      <w:r>
        <w:rPr>
          <w:rFonts w:hint="eastAsia" w:cs="宋体"/>
          <w:color w:val="000000" w:themeColor="text1"/>
          <w:szCs w:val="21"/>
          <w14:textFill>
            <w14:solidFill>
              <w14:schemeClr w14:val="tx1"/>
            </w14:solidFill>
          </w14:textFill>
        </w:rPr>
        <w:t>保证上述信息的完整、客观、真实、准确，并愿意承担我</w:t>
      </w:r>
      <w:r>
        <w:rPr>
          <w:rFonts w:hint="eastAsia"/>
          <w:color w:val="000000" w:themeColor="text1"/>
          <w:szCs w:val="21"/>
          <w14:textFill>
            <w14:solidFill>
              <w14:schemeClr w14:val="tx1"/>
            </w14:solidFill>
          </w14:textFill>
        </w:rPr>
        <w:t>方</w:t>
      </w:r>
      <w:r>
        <w:rPr>
          <w:rFonts w:hint="eastAsia" w:cs="宋体"/>
          <w:color w:val="000000" w:themeColor="text1"/>
          <w:szCs w:val="21"/>
          <w14:textFill>
            <w14:solidFill>
              <w14:schemeClr w14:val="tx1"/>
            </w14:solidFill>
          </w14:textFill>
        </w:rPr>
        <w:t>因提供虚假材料谋骗取中标所引起的一切法律后果。</w:t>
      </w:r>
    </w:p>
    <w:bookmarkEnd w:id="454"/>
    <w:p w14:paraId="675081BB">
      <w:pPr>
        <w:adjustRightInd w:val="0"/>
        <w:snapToGrid w:val="0"/>
        <w:ind w:firstLine="480" w:firstLineChars="200"/>
        <w:rPr>
          <w:rFonts w:hint="eastAsia" w:cs="宋体"/>
          <w:color w:val="000000" w:themeColor="text1"/>
          <w:szCs w:val="21"/>
          <w14:textFill>
            <w14:solidFill>
              <w14:schemeClr w14:val="tx1"/>
            </w14:solidFill>
          </w14:textFill>
        </w:rPr>
      </w:pPr>
    </w:p>
    <w:p w14:paraId="52E7E473">
      <w:pP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投标人名称</w:t>
      </w:r>
      <w:r>
        <w:rPr>
          <w:rFonts w:ascii="Arial" w:hAnsi="Arial" w:cs="Arial"/>
          <w:color w:val="000000" w:themeColor="text1"/>
          <w:szCs w:val="21"/>
          <w14:textFill>
            <w14:solidFill>
              <w14:schemeClr w14:val="tx1"/>
            </w14:solidFill>
          </w14:textFill>
        </w:rPr>
        <w:t xml:space="preserve"> </w:t>
      </w:r>
      <w:r>
        <w:rPr>
          <w:rFonts w:hint="eastAsia" w:ascii="Arial" w:hAnsi="Arial" w:cs="Arial"/>
          <w:color w:val="000000" w:themeColor="text1"/>
          <w:szCs w:val="21"/>
          <w14:textFill>
            <w14:solidFill>
              <w14:schemeClr w14:val="tx1"/>
            </w14:solidFill>
          </w14:textFill>
        </w:rPr>
        <w:t>：</w:t>
      </w:r>
    </w:p>
    <w:p w14:paraId="106A02B6">
      <w:pP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日期：</w:t>
      </w:r>
      <w:bookmarkEnd w:id="455"/>
      <w:r>
        <w:rPr>
          <w:rFonts w:ascii="Arial" w:hAnsi="Arial" w:cs="Arial"/>
          <w:color w:val="000000" w:themeColor="text1"/>
          <w:szCs w:val="21"/>
          <w14:textFill>
            <w14:solidFill>
              <w14:schemeClr w14:val="tx1"/>
            </w14:solidFill>
          </w14:textFill>
        </w:rPr>
        <w:br w:type="page"/>
      </w:r>
    </w:p>
    <w:p w14:paraId="4001783D">
      <w:pPr>
        <w:pStyle w:val="5"/>
        <w:numPr>
          <w:ilvl w:val="0"/>
          <w:numId w:val="29"/>
        </w:numPr>
        <w:spacing w:before="0" w:after="0"/>
        <w:ind w:left="0"/>
        <w:rPr>
          <w:rFonts w:hint="eastAsia"/>
          <w:color w:val="000000" w:themeColor="text1"/>
          <w14:textFill>
            <w14:solidFill>
              <w14:schemeClr w14:val="tx1"/>
            </w14:solidFill>
          </w14:textFill>
        </w:rPr>
      </w:pPr>
      <w:bookmarkStart w:id="456" w:name="_Toc109900336"/>
      <w:bookmarkStart w:id="457" w:name="_Toc109899917"/>
      <w:bookmarkStart w:id="458" w:name="_Toc109899498"/>
      <w:bookmarkStart w:id="459" w:name="_Toc140132840"/>
      <w:bookmarkStart w:id="460" w:name="_Toc155185930"/>
      <w:bookmarkStart w:id="461" w:name="_Toc31223"/>
      <w:bookmarkStart w:id="462" w:name="_Toc3267"/>
      <w:r>
        <w:rPr>
          <w:rFonts w:hint="eastAsia"/>
          <w:color w:val="000000" w:themeColor="text1"/>
          <w14:textFill>
            <w14:solidFill>
              <w14:schemeClr w14:val="tx1"/>
            </w14:solidFill>
          </w14:textFill>
        </w:rPr>
        <w:t>资格证明文件</w:t>
      </w:r>
      <w:bookmarkEnd w:id="456"/>
      <w:bookmarkEnd w:id="457"/>
      <w:bookmarkEnd w:id="458"/>
      <w:bookmarkEnd w:id="459"/>
      <w:bookmarkEnd w:id="460"/>
      <w:bookmarkEnd w:id="461"/>
      <w:bookmarkEnd w:id="462"/>
    </w:p>
    <w:p w14:paraId="74AB64BC">
      <w:pPr>
        <w:snapToGrid w:val="0"/>
        <w:ind w:firstLine="48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投标人须提供的资格证明文件详见第四章《资格审查表》。</w:t>
      </w:r>
    </w:p>
    <w:p w14:paraId="5C6316A2">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427F9D5D">
      <w:pPr>
        <w:pStyle w:val="5"/>
        <w:numPr>
          <w:ilvl w:val="0"/>
          <w:numId w:val="29"/>
        </w:numPr>
        <w:spacing w:before="0" w:after="0"/>
        <w:ind w:left="0"/>
        <w:rPr>
          <w:rFonts w:hint="eastAsia"/>
          <w:color w:val="000000" w:themeColor="text1"/>
          <w14:textFill>
            <w14:solidFill>
              <w14:schemeClr w14:val="tx1"/>
            </w14:solidFill>
          </w14:textFill>
        </w:rPr>
      </w:pPr>
      <w:bookmarkStart w:id="463" w:name="_Toc155185931"/>
      <w:bookmarkStart w:id="464" w:name="_Toc25898"/>
      <w:bookmarkStart w:id="465" w:name="_Toc22500"/>
      <w:r>
        <w:rPr>
          <w:rFonts w:hint="eastAsia"/>
          <w:color w:val="000000" w:themeColor="text1"/>
          <w14:textFill>
            <w14:solidFill>
              <w14:schemeClr w14:val="tx1"/>
            </w14:solidFill>
          </w14:textFill>
        </w:rPr>
        <w:t>联合体协议书</w:t>
      </w:r>
      <w:bookmarkEnd w:id="463"/>
      <w:r>
        <w:rPr>
          <w:rFonts w:hint="eastAsia"/>
          <w:color w:val="000000" w:themeColor="text1"/>
          <w14:textFill>
            <w14:solidFill>
              <w14:schemeClr w14:val="tx1"/>
            </w14:solidFill>
          </w14:textFill>
        </w:rPr>
        <w:t>【如适用】</w:t>
      </w:r>
      <w:bookmarkEnd w:id="464"/>
      <w:bookmarkEnd w:id="465"/>
    </w:p>
    <w:p w14:paraId="3ED43B91">
      <w:pPr>
        <w:pStyle w:val="74"/>
        <w:adjustRightInd w:val="0"/>
        <w:snapToGrid w:val="0"/>
        <w:spacing w:before="0" w:beforeAutospacing="0" w:after="0" w:afterAutospacing="0"/>
        <w:ind w:firstLine="480"/>
        <w:rPr>
          <w:rFonts w:hint="eastAsia" w:ascii="楷体" w:hAnsi="楷体" w:eastAsia="楷体"/>
          <w:bCs/>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w:t>
      </w:r>
      <w:r>
        <w:rPr>
          <w:rFonts w:hint="eastAsia" w:ascii="楷体" w:hAnsi="楷体" w:eastAsia="楷体" w:cs="Tahoma"/>
          <w:color w:val="000000" w:themeColor="text1"/>
          <w14:textFill>
            <w14:solidFill>
              <w14:schemeClr w14:val="tx1"/>
            </w14:solidFill>
          </w14:textFill>
        </w:rPr>
        <w:t>联合体</w:t>
      </w:r>
      <w:r>
        <w:rPr>
          <w:rFonts w:hint="eastAsia" w:ascii="楷体" w:hAnsi="楷体" w:eastAsia="楷体"/>
          <w:color w:val="000000" w:themeColor="text1"/>
          <w14:textFill>
            <w14:solidFill>
              <w14:schemeClr w14:val="tx1"/>
            </w14:solidFill>
          </w14:textFill>
        </w:rPr>
        <w:t>投标时应当提供，非联合体不用提供）</w:t>
      </w:r>
    </w:p>
    <w:p w14:paraId="36687640">
      <w:pPr>
        <w:pStyle w:val="74"/>
        <w:adjustRightInd w:val="0"/>
        <w:snapToGrid w:val="0"/>
        <w:spacing w:before="0" w:beforeAutospacing="0" w:after="0" w:afterAutospacing="0"/>
        <w:rPr>
          <w:rFonts w:hint="eastAsia" w:cs="Tahoma"/>
          <w:color w:val="000000" w:themeColor="text1"/>
          <w14:textFill>
            <w14:solidFill>
              <w14:schemeClr w14:val="tx1"/>
            </w14:solidFill>
          </w14:textFill>
        </w:rPr>
      </w:pPr>
      <w:r>
        <w:rPr>
          <w:rFonts w:hint="eastAsia" w:cs="Tahoma"/>
          <w:color w:val="000000" w:themeColor="text1"/>
          <w:u w:val="single"/>
          <w14:textFill>
            <w14:solidFill>
              <w14:schemeClr w14:val="tx1"/>
            </w14:solidFill>
          </w14:textFill>
        </w:rPr>
        <w:t xml:space="preserve">    </w:t>
      </w:r>
      <w:r>
        <w:rPr>
          <w:rFonts w:hint="eastAsia" w:cs="Tahoma"/>
          <w:i/>
          <w:color w:val="000000" w:themeColor="text1"/>
          <w:u w:val="single"/>
          <w14:textFill>
            <w14:solidFill>
              <w14:schemeClr w14:val="tx1"/>
            </w14:solidFill>
          </w14:textFill>
        </w:rPr>
        <w:t>(甲公司名称)</w:t>
      </w:r>
      <w:r>
        <w:rPr>
          <w:rFonts w:hint="eastAsia" w:cs="Tahoma"/>
          <w:color w:val="000000" w:themeColor="text1"/>
          <w:u w:val="single"/>
          <w14:textFill>
            <w14:solidFill>
              <w14:schemeClr w14:val="tx1"/>
            </w14:solidFill>
          </w14:textFill>
        </w:rPr>
        <w:t xml:space="preserve">_   </w:t>
      </w:r>
      <w:r>
        <w:rPr>
          <w:rFonts w:hint="eastAsia" w:cs="Tahoma"/>
          <w:color w:val="000000" w:themeColor="text1"/>
          <w14:textFill>
            <w14:solidFill>
              <w14:schemeClr w14:val="tx1"/>
            </w14:solidFill>
          </w14:textFill>
        </w:rPr>
        <w:t>（以下简称甲方）</w:t>
      </w:r>
    </w:p>
    <w:p w14:paraId="66CF7496">
      <w:pPr>
        <w:pStyle w:val="74"/>
        <w:adjustRightInd w:val="0"/>
        <w:snapToGrid w:val="0"/>
        <w:spacing w:before="0" w:beforeAutospacing="0" w:after="0" w:afterAutospacing="0"/>
        <w:rPr>
          <w:rFonts w:hint="eastAsia" w:cs="Tahoma"/>
          <w:color w:val="000000" w:themeColor="text1"/>
          <w14:textFill>
            <w14:solidFill>
              <w14:schemeClr w14:val="tx1"/>
            </w14:solidFill>
          </w14:textFill>
        </w:rPr>
      </w:pPr>
      <w:r>
        <w:rPr>
          <w:rFonts w:hint="eastAsia" w:cs="Tahoma"/>
          <w:color w:val="000000" w:themeColor="text1"/>
          <w:u w:val="single"/>
          <w14:textFill>
            <w14:solidFill>
              <w14:schemeClr w14:val="tx1"/>
            </w14:solidFill>
          </w14:textFill>
        </w:rPr>
        <w:t xml:space="preserve">    </w:t>
      </w:r>
      <w:r>
        <w:rPr>
          <w:rFonts w:hint="eastAsia" w:cs="Tahoma"/>
          <w:i/>
          <w:color w:val="000000" w:themeColor="text1"/>
          <w:u w:val="single"/>
          <w14:textFill>
            <w14:solidFill>
              <w14:schemeClr w14:val="tx1"/>
            </w14:solidFill>
          </w14:textFill>
        </w:rPr>
        <w:t>(乙公司名称)</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（以下简称乙方）</w:t>
      </w:r>
    </w:p>
    <w:p w14:paraId="43FD25E0">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w:t>
      </w:r>
      <w:r>
        <w:rPr>
          <w:rFonts w:hint="eastAsia" w:ascii="楷体" w:hAnsi="楷体" w:eastAsia="楷体" w:cs="Tahoma"/>
          <w:color w:val="000000" w:themeColor="text1"/>
          <w14:textFill>
            <w14:solidFill>
              <w14:schemeClr w14:val="tx1"/>
            </w14:solidFill>
          </w14:textFill>
        </w:rPr>
        <w:t>（多家企业的以甲、乙、丙、丁……描述）</w:t>
      </w:r>
    </w:p>
    <w:p w14:paraId="4B25D5EF">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以上各方</w:t>
      </w:r>
      <w:r>
        <w:rPr>
          <w:rFonts w:cs="Tahoma"/>
          <w:color w:val="000000" w:themeColor="text1"/>
          <w14:textFill>
            <w14:solidFill>
              <w14:schemeClr w14:val="tx1"/>
            </w14:solidFill>
          </w14:textFill>
        </w:rPr>
        <w:t>自愿组成联合体，参加</w:t>
      </w:r>
      <w:r>
        <w:rPr>
          <w:rFonts w:hint="eastAsia" w:cs="Tahoma"/>
          <w:color w:val="000000" w:themeColor="text1"/>
          <w:u w:val="single"/>
          <w14:textFill>
            <w14:solidFill>
              <w14:schemeClr w14:val="tx1"/>
            </w14:solidFill>
          </w14:textFill>
        </w:rPr>
        <w:t xml:space="preserve">  </w:t>
      </w:r>
      <w:r>
        <w:rPr>
          <w:rFonts w:hint="eastAsia" w:cs="Tahoma"/>
          <w:i/>
          <w:color w:val="000000" w:themeColor="text1"/>
          <w:u w:val="single"/>
          <w14:textFill>
            <w14:solidFill>
              <w14:schemeClr w14:val="tx1"/>
            </w14:solidFill>
          </w14:textFill>
        </w:rPr>
        <w:t>（项目名称）</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的</w:t>
      </w:r>
      <w:r>
        <w:rPr>
          <w:rFonts w:cs="Tahoma"/>
          <w:color w:val="000000" w:themeColor="text1"/>
          <w14:textFill>
            <w14:solidFill>
              <w14:schemeClr w14:val="tx1"/>
            </w14:solidFill>
          </w14:textFill>
        </w:rPr>
        <w:t>投标</w:t>
      </w:r>
      <w:r>
        <w:rPr>
          <w:rFonts w:hint="eastAsia" w:cs="Tahoma"/>
          <w:color w:val="000000" w:themeColor="text1"/>
          <w14:textFill>
            <w14:solidFill>
              <w14:schemeClr w14:val="tx1"/>
            </w14:solidFill>
          </w14:textFill>
        </w:rPr>
        <w:t>，不再单独参加或者与其他供应商另外组成联合体参加本项目的采购活动。</w:t>
      </w:r>
      <w:r>
        <w:rPr>
          <w:rFonts w:cs="Tahoma"/>
          <w:color w:val="000000" w:themeColor="text1"/>
          <w14:textFill>
            <w14:solidFill>
              <w14:schemeClr w14:val="tx1"/>
            </w14:solidFill>
          </w14:textFill>
        </w:rPr>
        <w:t>现就有关事宜订立协议如下：</w:t>
      </w:r>
    </w:p>
    <w:p w14:paraId="6CDFC6A8">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1.</w:t>
      </w:r>
      <w:r>
        <w:rPr>
          <w:rFonts w:hint="eastAsia" w:cs="Tahoma"/>
          <w:color w:val="000000" w:themeColor="text1"/>
          <w:u w:val="single"/>
          <w14:textFill>
            <w14:solidFill>
              <w14:schemeClr w14:val="tx1"/>
            </w14:solidFill>
          </w14:textFill>
        </w:rPr>
        <w:t xml:space="preserve"> </w:t>
      </w:r>
      <w:r>
        <w:rPr>
          <w:rFonts w:hint="eastAsia" w:cs="Tahoma"/>
          <w:i/>
          <w:color w:val="000000" w:themeColor="text1"/>
          <w:u w:val="single"/>
          <w14:textFill>
            <w14:solidFill>
              <w14:schemeClr w14:val="tx1"/>
            </w14:solidFill>
          </w14:textFill>
        </w:rPr>
        <w:t>（甲方）</w:t>
      </w:r>
      <w:r>
        <w:rPr>
          <w:rFonts w:hint="eastAsia" w:cs="Tahoma"/>
          <w:color w:val="000000" w:themeColor="text1"/>
          <w:u w:val="single"/>
          <w14:textFill>
            <w14:solidFill>
              <w14:schemeClr w14:val="tx1"/>
            </w14:solidFill>
          </w14:textFill>
        </w:rPr>
        <w:t xml:space="preserve"> </w:t>
      </w:r>
      <w:r>
        <w:rPr>
          <w:rFonts w:cs="Tahoma"/>
          <w:color w:val="000000" w:themeColor="text1"/>
          <w14:textFill>
            <w14:solidFill>
              <w14:schemeClr w14:val="tx1"/>
            </w14:solidFill>
          </w14:textFill>
        </w:rPr>
        <w:t>为联合体</w:t>
      </w:r>
      <w:r>
        <w:rPr>
          <w:rFonts w:hint="eastAsia" w:cs="Tahoma"/>
          <w:color w:val="000000" w:themeColor="text1"/>
          <w14:textFill>
            <w14:solidFill>
              <w14:schemeClr w14:val="tx1"/>
            </w14:solidFill>
          </w14:textFill>
        </w:rPr>
        <w:t>主体，其它各方为联合体成员，联合体中各方不存在</w:t>
      </w:r>
      <w:r>
        <w:rPr>
          <w:rFonts w:hint="eastAsia"/>
          <w:color w:val="000000" w:themeColor="text1"/>
          <w14:textFill>
            <w14:solidFill>
              <w14:schemeClr w14:val="tx1"/>
            </w14:solidFill>
          </w14:textFill>
        </w:rPr>
        <w:t>单位负责人为同一人或者存在直接控股、管理关系</w:t>
      </w:r>
      <w:r>
        <w:rPr>
          <w:rFonts w:hint="eastAsia" w:cs="Tahoma"/>
          <w:color w:val="000000" w:themeColor="text1"/>
          <w14:textFill>
            <w14:solidFill>
              <w14:schemeClr w14:val="tx1"/>
            </w14:solidFill>
          </w14:textFill>
        </w:rPr>
        <w:t>。</w:t>
      </w:r>
    </w:p>
    <w:p w14:paraId="1ED46CAD">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2.</w:t>
      </w:r>
      <w:r>
        <w:rPr>
          <w:rFonts w:cs="Tahoma"/>
          <w:color w:val="000000" w:themeColor="text1"/>
          <w14:textFill>
            <w14:solidFill>
              <w14:schemeClr w14:val="tx1"/>
            </w14:solidFill>
          </w14:textFill>
        </w:rPr>
        <w:t>联合体将严格按照</w:t>
      </w:r>
      <w:r>
        <w:fldChar w:fldCharType="begin"/>
      </w:r>
      <w:r>
        <w:instrText xml:space="preserve"> HYPERLINK "https://www.66law.cn/special/zb/" \t "_blank" \o "招标" </w:instrText>
      </w:r>
      <w:r>
        <w:fldChar w:fldCharType="separate"/>
      </w:r>
      <w:r>
        <w:rPr>
          <w:rStyle w:val="89"/>
          <w:rFonts w:cs="Tahoma"/>
          <w:color w:val="000000" w:themeColor="text1"/>
          <w14:textFill>
            <w14:solidFill>
              <w14:schemeClr w14:val="tx1"/>
            </w14:solidFill>
          </w14:textFill>
        </w:rPr>
        <w:t>招标</w:t>
      </w:r>
      <w:r>
        <w:rPr>
          <w:rStyle w:val="89"/>
          <w:rFonts w:cs="Tahoma"/>
          <w:color w:val="000000" w:themeColor="text1"/>
          <w14:textFill>
            <w14:solidFill>
              <w14:schemeClr w14:val="tx1"/>
            </w14:solidFill>
          </w14:textFill>
        </w:rPr>
        <w:fldChar w:fldCharType="end"/>
      </w:r>
      <w:r>
        <w:rPr>
          <w:rFonts w:cs="Tahoma"/>
          <w:color w:val="000000" w:themeColor="text1"/>
          <w14:textFill>
            <w14:solidFill>
              <w14:schemeClr w14:val="tx1"/>
            </w14:solidFill>
          </w14:textFill>
        </w:rPr>
        <w:t>文件的各项要求办理投标事宜，投标文件中的所有承诺均代表了联合体各成员</w:t>
      </w:r>
      <w:r>
        <w:rPr>
          <w:rFonts w:hint="eastAsia" w:cs="Tahoma"/>
          <w:color w:val="000000" w:themeColor="text1"/>
          <w14:textFill>
            <w14:solidFill>
              <w14:schemeClr w14:val="tx1"/>
            </w14:solidFill>
          </w14:textFill>
        </w:rPr>
        <w:t>，联合体各成员依法共同承担相应责任</w:t>
      </w:r>
      <w:r>
        <w:rPr>
          <w:rFonts w:cs="Tahoma"/>
          <w:color w:val="000000" w:themeColor="text1"/>
          <w14:textFill>
            <w14:solidFill>
              <w14:schemeClr w14:val="tx1"/>
            </w14:solidFill>
          </w14:textFill>
        </w:rPr>
        <w:t>。</w:t>
      </w:r>
    </w:p>
    <w:p w14:paraId="42DE3872">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3.</w:t>
      </w:r>
      <w:r>
        <w:rPr>
          <w:rFonts w:cs="Tahoma"/>
          <w:color w:val="000000" w:themeColor="text1"/>
          <w14:textFill>
            <w14:solidFill>
              <w14:schemeClr w14:val="tx1"/>
            </w14:solidFill>
          </w14:textFill>
        </w:rPr>
        <w:t>联合体分工：</w:t>
      </w:r>
      <w:r>
        <w:rPr>
          <w:rFonts w:hint="eastAsia" w:cs="Tahoma"/>
          <w:color w:val="000000" w:themeColor="text1"/>
          <w14:textFill>
            <w14:solidFill>
              <w14:schemeClr w14:val="tx1"/>
            </w14:solidFill>
          </w14:textFill>
        </w:rPr>
        <w:t xml:space="preserve"> </w:t>
      </w:r>
    </w:p>
    <w:p w14:paraId="271610D7">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u w:val="single"/>
          <w14:textFill>
            <w14:solidFill>
              <w14:schemeClr w14:val="tx1"/>
            </w14:solidFill>
          </w14:textFill>
        </w:rPr>
        <w:t>（</w:t>
      </w:r>
      <w:r>
        <w:rPr>
          <w:rFonts w:hint="eastAsia" w:cs="Tahoma"/>
          <w:i/>
          <w:color w:val="000000" w:themeColor="text1"/>
          <w:u w:val="single"/>
          <w14:textFill>
            <w14:solidFill>
              <w14:schemeClr w14:val="tx1"/>
            </w14:solidFill>
          </w14:textFill>
        </w:rPr>
        <w:t>甲方</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承担项目采购合同金额的</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w:t>
      </w:r>
      <w:r>
        <w:rPr>
          <w:rFonts w:cs="Tahoma"/>
          <w:color w:val="000000" w:themeColor="text1"/>
          <w14:textFill>
            <w14:solidFill>
              <w14:schemeClr w14:val="tx1"/>
            </w14:solidFill>
          </w14:textFill>
        </w:rPr>
        <w:t>负责</w:t>
      </w:r>
      <w:r>
        <w:rPr>
          <w:rFonts w:hint="eastAsia" w:cs="Tahoma"/>
          <w:color w:val="000000" w:themeColor="text1"/>
          <w14:textFill>
            <w14:solidFill>
              <w14:schemeClr w14:val="tx1"/>
            </w14:solidFill>
          </w14:textFill>
        </w:rPr>
        <w:t>的工作为：</w:t>
      </w:r>
      <w:r>
        <w:rPr>
          <w:rFonts w:hint="eastAsia" w:cs="Tahoma"/>
          <w:i/>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w:t>
      </w:r>
    </w:p>
    <w:p w14:paraId="33589723">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i/>
          <w:color w:val="000000" w:themeColor="text1"/>
          <w:u w:val="single"/>
          <w14:textFill>
            <w14:solidFill>
              <w14:schemeClr w14:val="tx1"/>
            </w14:solidFill>
          </w14:textFill>
        </w:rPr>
        <w:t>（乙方）</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承担项目采购合同金额的</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，负责的工作为：</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w:t>
      </w:r>
    </w:p>
    <w:p w14:paraId="0429C344">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w:t>
      </w:r>
    </w:p>
    <w:p w14:paraId="0F289616">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4.若</w:t>
      </w:r>
      <w:r>
        <w:rPr>
          <w:rFonts w:cs="Tahoma"/>
          <w:color w:val="000000" w:themeColor="text1"/>
          <w14:textFill>
            <w14:solidFill>
              <w14:schemeClr w14:val="tx1"/>
            </w14:solidFill>
          </w14:textFill>
        </w:rPr>
        <w:t>中标，联合体成员共同与</w:t>
      </w:r>
      <w:r>
        <w:rPr>
          <w:rFonts w:hint="eastAsia" w:cs="Tahoma"/>
          <w:color w:val="000000" w:themeColor="text1"/>
          <w14:textFill>
            <w14:solidFill>
              <w14:schemeClr w14:val="tx1"/>
            </w14:solidFill>
          </w14:textFill>
        </w:rPr>
        <w:t>采购人</w:t>
      </w:r>
      <w:r>
        <w:rPr>
          <w:rFonts w:cs="Tahoma"/>
          <w:color w:val="000000" w:themeColor="text1"/>
          <w14:textFill>
            <w14:solidFill>
              <w14:schemeClr w14:val="tx1"/>
            </w14:solidFill>
          </w14:textFill>
        </w:rPr>
        <w:t>签订</w:t>
      </w:r>
      <w:r>
        <w:rPr>
          <w:rFonts w:hint="eastAsia" w:cs="Tahoma"/>
          <w:color w:val="000000" w:themeColor="text1"/>
          <w14:textFill>
            <w14:solidFill>
              <w14:schemeClr w14:val="tx1"/>
            </w14:solidFill>
          </w14:textFill>
        </w:rPr>
        <w:t>采购合同（本协议应当作为采购合同的组成部分）</w:t>
      </w:r>
      <w:r>
        <w:rPr>
          <w:rFonts w:cs="Tahoma"/>
          <w:color w:val="000000" w:themeColor="text1"/>
          <w14:textFill>
            <w14:solidFill>
              <w14:schemeClr w14:val="tx1"/>
            </w14:solidFill>
          </w14:textFill>
        </w:rPr>
        <w:t>，</w:t>
      </w:r>
      <w:r>
        <w:rPr>
          <w:rFonts w:hint="eastAsia" w:cs="Tahoma"/>
          <w:color w:val="000000" w:themeColor="text1"/>
          <w14:textFill>
            <w14:solidFill>
              <w14:schemeClr w14:val="tx1"/>
            </w14:solidFill>
          </w14:textFill>
        </w:rPr>
        <w:t>就采购合同约定的事项对采购人承担连带责任，联合体主体负主要责任。</w:t>
      </w:r>
    </w:p>
    <w:p w14:paraId="402E7DA8">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5.其他：</w:t>
      </w:r>
      <w:r>
        <w:rPr>
          <w:rFonts w:cs="Tahoma"/>
          <w:color w:val="000000" w:themeColor="text1"/>
          <w14:textFill>
            <w14:solidFill>
              <w14:schemeClr w14:val="tx1"/>
            </w14:solidFill>
          </w14:textFill>
        </w:rPr>
        <w:t>……</w:t>
      </w:r>
    </w:p>
    <w:p w14:paraId="0E3FC005">
      <w:pPr>
        <w:pStyle w:val="74"/>
        <w:adjustRightInd w:val="0"/>
        <w:snapToGrid w:val="0"/>
        <w:spacing w:before="0" w:beforeAutospacing="0" w:after="0" w:afterAutospacing="0"/>
        <w:ind w:firstLine="48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6.本协议书自签署之日起生效，若未中标，自本次投标有效期结束后自行失效；若中标，自合同书规定的期限之后自行失效。</w:t>
      </w:r>
    </w:p>
    <w:p w14:paraId="3E660FC5">
      <w:pPr>
        <w:pStyle w:val="74"/>
        <w:adjustRightInd w:val="0"/>
        <w:snapToGrid w:val="0"/>
        <w:spacing w:before="0" w:beforeAutospacing="0" w:after="0" w:afterAutospacing="0"/>
        <w:ind w:left="274" w:leftChars="114" w:firstLine="240" w:firstLineChars="10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7.</w:t>
      </w:r>
      <w:r>
        <w:rPr>
          <w:rFonts w:cs="Tahoma"/>
          <w:color w:val="000000" w:themeColor="text1"/>
          <w14:textFill>
            <w14:solidFill>
              <w14:schemeClr w14:val="tx1"/>
            </w14:solidFill>
          </w14:textFill>
        </w:rPr>
        <w:t>本协议书正本一式</w:t>
      </w:r>
      <w:r>
        <w:rPr>
          <w:rFonts w:hint="eastAsia" w:cs="Tahoma"/>
          <w:color w:val="000000" w:themeColor="text1"/>
          <w:u w:val="single"/>
          <w14:textFill>
            <w14:solidFill>
              <w14:schemeClr w14:val="tx1"/>
            </w14:solidFill>
          </w14:textFill>
        </w:rPr>
        <w:t xml:space="preserve">    </w:t>
      </w:r>
      <w:r>
        <w:rPr>
          <w:rFonts w:cs="Tahoma"/>
          <w:color w:val="000000" w:themeColor="text1"/>
          <w14:textFill>
            <w14:solidFill>
              <w14:schemeClr w14:val="tx1"/>
            </w14:solidFill>
          </w14:textFill>
        </w:rPr>
        <w:t>份，联合体成员各</w:t>
      </w:r>
      <w:r>
        <w:rPr>
          <w:rFonts w:hint="eastAsia" w:cs="Tahoma"/>
          <w:color w:val="000000" w:themeColor="text1"/>
          <w14:textFill>
            <w14:solidFill>
              <w14:schemeClr w14:val="tx1"/>
            </w14:solidFill>
          </w14:textFill>
        </w:rPr>
        <w:t>执</w:t>
      </w:r>
      <w:r>
        <w:rPr>
          <w:rFonts w:hint="eastAsia" w:cs="Tahoma"/>
          <w:color w:val="000000" w:themeColor="text1"/>
          <w:u w:val="single"/>
          <w14:textFill>
            <w14:solidFill>
              <w14:schemeClr w14:val="tx1"/>
            </w14:solidFill>
          </w14:textFill>
        </w:rPr>
        <w:t xml:space="preserve">    </w:t>
      </w:r>
      <w:r>
        <w:rPr>
          <w:rFonts w:cs="Tahoma"/>
          <w:color w:val="000000" w:themeColor="text1"/>
          <w14:textFill>
            <w14:solidFill>
              <w14:schemeClr w14:val="tx1"/>
            </w14:solidFill>
          </w14:textFill>
        </w:rPr>
        <w:t>份；副本一式</w:t>
      </w:r>
      <w:r>
        <w:rPr>
          <w:rFonts w:hint="eastAsia" w:cs="Tahoma"/>
          <w:color w:val="000000" w:themeColor="text1"/>
          <w:u w:val="single"/>
          <w14:textFill>
            <w14:solidFill>
              <w14:schemeClr w14:val="tx1"/>
            </w14:solidFill>
          </w14:textFill>
        </w:rPr>
        <w:t xml:space="preserve">    </w:t>
      </w:r>
      <w:r>
        <w:rPr>
          <w:rFonts w:cs="Tahoma"/>
          <w:color w:val="000000" w:themeColor="text1"/>
          <w14:textFill>
            <w14:solidFill>
              <w14:schemeClr w14:val="tx1"/>
            </w14:solidFill>
          </w14:textFill>
        </w:rPr>
        <w:t>份，联合体成员各执</w:t>
      </w:r>
      <w:r>
        <w:rPr>
          <w:rFonts w:hint="eastAsia" w:cs="Tahoma"/>
          <w:color w:val="000000" w:themeColor="text1"/>
          <w:u w:val="single"/>
          <w14:textFill>
            <w14:solidFill>
              <w14:schemeClr w14:val="tx1"/>
            </w14:solidFill>
          </w14:textFill>
        </w:rPr>
        <w:t xml:space="preserve">     </w:t>
      </w:r>
      <w:r>
        <w:rPr>
          <w:rFonts w:cs="Tahoma"/>
          <w:color w:val="000000" w:themeColor="text1"/>
          <w14:textFill>
            <w14:solidFill>
              <w14:schemeClr w14:val="tx1"/>
            </w14:solidFill>
          </w14:textFill>
        </w:rPr>
        <w:t>份。</w:t>
      </w:r>
    </w:p>
    <w:p w14:paraId="7309A66E">
      <w:pPr>
        <w:pStyle w:val="74"/>
        <w:adjustRightInd w:val="0"/>
        <w:snapToGrid w:val="0"/>
        <w:spacing w:before="0" w:beforeAutospacing="0" w:after="0" w:afterAutospacing="0"/>
        <w:ind w:left="2520" w:leftChars="105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甲  方（公章）：</w:t>
      </w:r>
      <w:r>
        <w:rPr>
          <w:rFonts w:hint="eastAsia" w:cs="Tahoma"/>
          <w:color w:val="000000" w:themeColor="text1"/>
          <w:u w:val="single"/>
          <w14:textFill>
            <w14:solidFill>
              <w14:schemeClr w14:val="tx1"/>
            </w14:solidFill>
          </w14:textFill>
        </w:rPr>
        <w:t xml:space="preserve">                             </w:t>
      </w:r>
    </w:p>
    <w:p w14:paraId="7D1F95CC">
      <w:pPr>
        <w:pStyle w:val="74"/>
        <w:adjustRightInd w:val="0"/>
        <w:snapToGrid w:val="0"/>
        <w:spacing w:before="0" w:beforeAutospacing="0" w:after="0" w:afterAutospacing="0"/>
        <w:ind w:left="2520" w:leftChars="105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法定代表人（签字或签章）：</w:t>
      </w:r>
      <w:r>
        <w:rPr>
          <w:rFonts w:hint="eastAsia" w:cs="Tahoma"/>
          <w:color w:val="000000" w:themeColor="text1"/>
          <w:u w:val="single"/>
          <w14:textFill>
            <w14:solidFill>
              <w14:schemeClr w14:val="tx1"/>
            </w14:solidFill>
          </w14:textFill>
        </w:rPr>
        <w:t xml:space="preserve">                   </w:t>
      </w:r>
    </w:p>
    <w:p w14:paraId="30E10BB8">
      <w:pPr>
        <w:pStyle w:val="74"/>
        <w:adjustRightInd w:val="0"/>
        <w:snapToGrid w:val="0"/>
        <w:spacing w:before="0" w:beforeAutospacing="0" w:after="0" w:afterAutospacing="0"/>
        <w:ind w:left="2520" w:leftChars="105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乙  方（公章）：</w:t>
      </w:r>
      <w:r>
        <w:rPr>
          <w:rFonts w:hint="eastAsia" w:cs="Tahoma"/>
          <w:color w:val="000000" w:themeColor="text1"/>
          <w:u w:val="single"/>
          <w14:textFill>
            <w14:solidFill>
              <w14:schemeClr w14:val="tx1"/>
            </w14:solidFill>
          </w14:textFill>
        </w:rPr>
        <w:t xml:space="preserve">                             </w:t>
      </w:r>
    </w:p>
    <w:p w14:paraId="1E386239">
      <w:pPr>
        <w:pStyle w:val="74"/>
        <w:adjustRightInd w:val="0"/>
        <w:snapToGrid w:val="0"/>
        <w:spacing w:before="0" w:beforeAutospacing="0" w:after="0" w:afterAutospacing="0"/>
        <w:ind w:left="2520" w:leftChars="105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法定代表人（签字或签章）：</w:t>
      </w:r>
      <w:r>
        <w:rPr>
          <w:rFonts w:hint="eastAsia" w:cs="Tahoma"/>
          <w:color w:val="000000" w:themeColor="text1"/>
          <w:u w:val="single"/>
          <w14:textFill>
            <w14:solidFill>
              <w14:schemeClr w14:val="tx1"/>
            </w14:solidFill>
          </w14:textFill>
        </w:rPr>
        <w:t xml:space="preserve">                   </w:t>
      </w:r>
      <w:r>
        <w:rPr>
          <w:rFonts w:hint="eastAsia" w:cs="Tahoma"/>
          <w:color w:val="000000" w:themeColor="text1"/>
          <w14:textFill>
            <w14:solidFill>
              <w14:schemeClr w14:val="tx1"/>
            </w14:solidFill>
          </w14:textFill>
        </w:rPr>
        <w:t xml:space="preserve"> </w:t>
      </w:r>
    </w:p>
    <w:p w14:paraId="0E37820E">
      <w:pPr>
        <w:pStyle w:val="74"/>
        <w:adjustRightInd w:val="0"/>
        <w:snapToGrid w:val="0"/>
        <w:spacing w:before="0" w:beforeAutospacing="0" w:after="0" w:afterAutospacing="0"/>
        <w:ind w:left="2520" w:leftChars="1050" w:firstLine="3720" w:firstLineChars="1550"/>
        <w:rPr>
          <w:rFonts w:hint="eastAsia" w:cs="Tahoma"/>
          <w:color w:val="000000" w:themeColor="text1"/>
          <w14:textFill>
            <w14:solidFill>
              <w14:schemeClr w14:val="tx1"/>
            </w14:solidFill>
          </w14:textFill>
        </w:rPr>
      </w:pPr>
      <w:r>
        <w:rPr>
          <w:rFonts w:hint="eastAsia" w:cs="Tahoma"/>
          <w:color w:val="000000" w:themeColor="text1"/>
          <w14:textFill>
            <w14:solidFill>
              <w14:schemeClr w14:val="tx1"/>
            </w14:solidFill>
          </w14:textFill>
        </w:rPr>
        <w:t xml:space="preserve">……            </w:t>
      </w:r>
    </w:p>
    <w:p w14:paraId="6C0FE4E0">
      <w:pPr>
        <w:ind w:left="2520" w:leftChars="1050"/>
        <w:rPr>
          <w:rFonts w:hint="eastAsia" w:cs="Tahoma"/>
          <w:color w:val="000000" w:themeColor="text1"/>
          <w:u w:val="single"/>
          <w14:textFill>
            <w14:solidFill>
              <w14:schemeClr w14:val="tx1"/>
            </w14:solidFill>
          </w14:textFill>
        </w:rPr>
      </w:pPr>
      <w:r>
        <w:rPr>
          <w:rFonts w:hint="eastAsia" w:cs="Tahoma"/>
          <w:color w:val="000000" w:themeColor="text1"/>
          <w14:textFill>
            <w14:solidFill>
              <w14:schemeClr w14:val="tx1"/>
            </w14:solidFill>
          </w14:textFill>
        </w:rPr>
        <w:t xml:space="preserve"> 签订日期: </w:t>
      </w:r>
      <w:r>
        <w:rPr>
          <w:rFonts w:hint="eastAsia" w:cs="Tahoma"/>
          <w:color w:val="000000" w:themeColor="text1"/>
          <w:u w:val="single"/>
          <w14:textFill>
            <w14:solidFill>
              <w14:schemeClr w14:val="tx1"/>
            </w14:solidFill>
          </w14:textFill>
        </w:rPr>
        <w:t xml:space="preserve">            </w:t>
      </w:r>
      <w:r>
        <w:rPr>
          <w:rFonts w:cs="Tahoma"/>
          <w:color w:val="000000" w:themeColor="text1"/>
          <w:u w:val="single"/>
          <w14:textFill>
            <w14:solidFill>
              <w14:schemeClr w14:val="tx1"/>
            </w14:solidFill>
          </w14:textFill>
        </w:rPr>
        <w:br w:type="page"/>
      </w:r>
    </w:p>
    <w:p w14:paraId="4434D8D7">
      <w:pPr>
        <w:pStyle w:val="5"/>
        <w:numPr>
          <w:ilvl w:val="0"/>
          <w:numId w:val="29"/>
        </w:numPr>
        <w:spacing w:before="0" w:after="0"/>
        <w:ind w:left="0"/>
        <w:rPr>
          <w:rFonts w:hint="eastAsia"/>
          <w:color w:val="000000" w:themeColor="text1"/>
          <w14:textFill>
            <w14:solidFill>
              <w14:schemeClr w14:val="tx1"/>
            </w14:solidFill>
          </w14:textFill>
        </w:rPr>
      </w:pPr>
      <w:bookmarkStart w:id="466" w:name="_Toc156490356"/>
      <w:bookmarkStart w:id="467" w:name="_Toc4613"/>
      <w:bookmarkStart w:id="468" w:name="_Toc4002"/>
      <w:bookmarkStart w:id="469" w:name="_Toc162299566"/>
      <w:r>
        <w:rPr>
          <w:rFonts w:hint="eastAsia"/>
          <w:color w:val="000000" w:themeColor="text1"/>
          <w14:textFill>
            <w14:solidFill>
              <w14:schemeClr w14:val="tx1"/>
            </w14:solidFill>
          </w14:textFill>
        </w:rPr>
        <w:t>分包意向协议书【如适用】</w:t>
      </w:r>
      <w:bookmarkEnd w:id="466"/>
      <w:bookmarkEnd w:id="467"/>
      <w:bookmarkEnd w:id="468"/>
      <w:bookmarkEnd w:id="469"/>
    </w:p>
    <w:p w14:paraId="772100B6">
      <w:pPr>
        <w:topLinePunct/>
        <w:ind w:firstLine="480" w:firstLineChars="200"/>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格式自拟。其中必须包含如下内容：</w:t>
      </w:r>
    </w:p>
    <w:p w14:paraId="28ECBE48">
      <w:pPr>
        <w:topLinePunct/>
        <w:ind w:firstLine="480" w:firstLineChars="200"/>
        <w:rPr>
          <w:rFonts w:hint="eastAsia"/>
          <w:color w:val="000000" w:themeColor="text1"/>
          <w:szCs w:val="32"/>
          <w14:textFill>
            <w14:solidFill>
              <w14:schemeClr w14:val="tx1"/>
            </w14:solidFill>
          </w14:textFill>
        </w:rPr>
      </w:pPr>
      <w:bookmarkStart w:id="470" w:name="_Hlk130476948"/>
      <w:r>
        <w:rPr>
          <w:rFonts w:hint="eastAsia"/>
          <w:color w:val="000000" w:themeColor="text1"/>
          <w:szCs w:val="32"/>
          <w14:textFill>
            <w14:solidFill>
              <w14:schemeClr w14:val="tx1"/>
            </w14:solidFill>
          </w14:textFill>
        </w:rPr>
        <w:t>拟分包单位属于中小企业如下：</w:t>
      </w:r>
      <w:r>
        <w:rPr>
          <w:color w:val="000000" w:themeColor="text1"/>
          <w:szCs w:val="32"/>
          <w:u w:val="single"/>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中小企业所占合同份额达到：</w:t>
      </w:r>
      <w:r>
        <w:rPr>
          <w:rFonts w:hint="eastAsia"/>
          <w:color w:val="000000" w:themeColor="text1"/>
          <w:szCs w:val="32"/>
          <w:u w:val="single"/>
          <w14:textFill>
            <w14:solidFill>
              <w14:schemeClr w14:val="tx1"/>
            </w14:solidFill>
          </w14:textFill>
        </w:rPr>
        <w:t xml:space="preserve"> </w:t>
      </w:r>
      <w:r>
        <w:rPr>
          <w:color w:val="000000" w:themeColor="text1"/>
          <w:szCs w:val="32"/>
          <w:u w:val="single"/>
          <w14:textFill>
            <w14:solidFill>
              <w14:schemeClr w14:val="tx1"/>
            </w14:solidFill>
          </w14:textFill>
        </w:rPr>
        <w:t xml:space="preserve">   </w:t>
      </w:r>
      <w:r>
        <w:rPr>
          <w:rFonts w:hint="eastAsia"/>
          <w:color w:val="000000" w:themeColor="text1"/>
          <w:szCs w:val="32"/>
          <w14:textFill>
            <w14:solidFill>
              <w14:schemeClr w14:val="tx1"/>
            </w14:solidFill>
          </w14:textFill>
        </w:rPr>
        <w:t>%；小微企业所占合同份额达到：</w:t>
      </w:r>
      <w:r>
        <w:rPr>
          <w:rFonts w:hint="eastAsia"/>
          <w:color w:val="000000" w:themeColor="text1"/>
          <w:szCs w:val="32"/>
          <w:u w:val="single"/>
          <w14:textFill>
            <w14:solidFill>
              <w14:schemeClr w14:val="tx1"/>
            </w14:solidFill>
          </w14:textFill>
        </w:rPr>
        <w:t xml:space="preserve"> </w:t>
      </w:r>
      <w:r>
        <w:rPr>
          <w:color w:val="000000" w:themeColor="text1"/>
          <w:szCs w:val="32"/>
          <w:u w:val="single"/>
          <w14:textFill>
            <w14:solidFill>
              <w14:schemeClr w14:val="tx1"/>
            </w14:solidFill>
          </w14:textFill>
        </w:rPr>
        <w:t xml:space="preserve">    </w:t>
      </w:r>
      <w:r>
        <w:rPr>
          <w:rFonts w:hint="eastAsia"/>
          <w:color w:val="000000" w:themeColor="text1"/>
          <w:szCs w:val="32"/>
          <w14:textFill>
            <w14:solidFill>
              <w14:schemeClr w14:val="tx1"/>
            </w14:solidFill>
          </w14:textFill>
        </w:rPr>
        <w:t>%。</w:t>
      </w:r>
      <w:bookmarkEnd w:id="470"/>
    </w:p>
    <w:p w14:paraId="5E73D71B">
      <w:pPr>
        <w:ind w:left="2520" w:leftChars="1050"/>
        <w:rPr>
          <w:rFonts w:hint="eastAsia"/>
          <w:color w:val="000000" w:themeColor="text1"/>
          <w14:textFill>
            <w14:solidFill>
              <w14:schemeClr w14:val="tx1"/>
            </w14:solidFill>
          </w14:textFill>
        </w:rPr>
      </w:pPr>
      <w:r>
        <w:rPr>
          <w:rFonts w:cs="Courier New"/>
          <w:color w:val="000000" w:themeColor="text1"/>
          <w:szCs w:val="24"/>
          <w14:textFill>
            <w14:solidFill>
              <w14:schemeClr w14:val="tx1"/>
            </w14:solidFill>
          </w14:textFill>
        </w:rPr>
        <w:br w:type="page"/>
      </w:r>
    </w:p>
    <w:p w14:paraId="0A266F1D">
      <w:pPr>
        <w:pStyle w:val="5"/>
        <w:numPr>
          <w:ilvl w:val="0"/>
          <w:numId w:val="29"/>
        </w:numPr>
        <w:spacing w:before="0" w:after="0"/>
        <w:ind w:left="0"/>
        <w:rPr>
          <w:rFonts w:hint="eastAsia"/>
          <w:color w:val="000000" w:themeColor="text1"/>
          <w14:textFill>
            <w14:solidFill>
              <w14:schemeClr w14:val="tx1"/>
            </w14:solidFill>
          </w14:textFill>
        </w:rPr>
      </w:pPr>
      <w:bookmarkStart w:id="471" w:name="_Toc155185932"/>
      <w:bookmarkStart w:id="472" w:name="_Toc8729"/>
      <w:bookmarkStart w:id="473" w:name="_Toc5537"/>
      <w:r>
        <w:rPr>
          <w:rFonts w:hint="eastAsia"/>
          <w:color w:val="000000" w:themeColor="text1"/>
          <w14:textFill>
            <w14:solidFill>
              <w14:schemeClr w14:val="tx1"/>
            </w14:solidFill>
          </w14:textFill>
        </w:rPr>
        <w:t>其他资格证明文件</w:t>
      </w:r>
      <w:bookmarkEnd w:id="471"/>
      <w:bookmarkEnd w:id="472"/>
      <w:bookmarkEnd w:id="473"/>
    </w:p>
    <w:p w14:paraId="24ED138F">
      <w:pPr>
        <w:rPr>
          <w:rFonts w:hint="eastAsia" w:cs="Courier New"/>
          <w:color w:val="000000" w:themeColor="text1"/>
          <w:szCs w:val="24"/>
          <w14:textFill>
            <w14:solidFill>
              <w14:schemeClr w14:val="tx1"/>
            </w14:solidFill>
          </w14:textFill>
        </w:rPr>
      </w:pPr>
      <w:r>
        <w:rPr>
          <w:rFonts w:hint="eastAsia" w:cs="Courier New"/>
          <w:color w:val="000000" w:themeColor="text1"/>
          <w:szCs w:val="24"/>
          <w14:textFill>
            <w14:solidFill>
              <w14:schemeClr w14:val="tx1"/>
            </w14:solidFill>
          </w14:textFill>
        </w:rPr>
        <w:t>投标人认为需提供的其它相关资格证明材料</w:t>
      </w:r>
      <w:r>
        <w:rPr>
          <w:rFonts w:cs="Courier New"/>
          <w:color w:val="000000" w:themeColor="text1"/>
          <w:szCs w:val="24"/>
          <w14:textFill>
            <w14:solidFill>
              <w14:schemeClr w14:val="tx1"/>
            </w14:solidFill>
          </w14:textFill>
        </w:rPr>
        <w:br w:type="page"/>
      </w:r>
    </w:p>
    <w:p w14:paraId="71F33156">
      <w:pPr>
        <w:pStyle w:val="4"/>
        <w:numPr>
          <w:ilvl w:val="0"/>
          <w:numId w:val="24"/>
        </w:numPr>
        <w:spacing w:before="0" w:after="0"/>
        <w:ind w:left="0"/>
        <w:rPr>
          <w:rFonts w:hint="eastAsia"/>
          <w:color w:val="000000" w:themeColor="text1"/>
          <w:lang w:val="zh-CN"/>
          <w14:textFill>
            <w14:solidFill>
              <w14:schemeClr w14:val="tx1"/>
            </w14:solidFill>
          </w14:textFill>
        </w:rPr>
      </w:pPr>
      <w:bookmarkStart w:id="474" w:name="_Toc21022"/>
      <w:bookmarkStart w:id="475" w:name="_Toc155185933"/>
      <w:r>
        <w:rPr>
          <w:rFonts w:hint="eastAsia"/>
          <w:color w:val="000000" w:themeColor="text1"/>
          <w:lang w:val="zh-CN"/>
          <w14:textFill>
            <w14:solidFill>
              <w14:schemeClr w14:val="tx1"/>
            </w14:solidFill>
          </w14:textFill>
        </w:rPr>
        <w:t>其他响应文件</w:t>
      </w:r>
      <w:bookmarkEnd w:id="474"/>
      <w:bookmarkEnd w:id="475"/>
    </w:p>
    <w:p w14:paraId="08E3ADF4">
      <w:pPr>
        <w:ind w:firstLine="480" w:firstLineChars="200"/>
        <w:rPr>
          <w:rFonts w:hint="eastAsia" w:cs="仿宋_GB2312"/>
          <w:color w:val="000000" w:themeColor="text1"/>
          <w:szCs w:val="24"/>
          <w:lang w:val="zh-CN"/>
          <w14:textFill>
            <w14:solidFill>
              <w14:schemeClr w14:val="tx1"/>
            </w14:solidFill>
          </w14:textFill>
        </w:rPr>
      </w:pPr>
      <w:r>
        <w:rPr>
          <w:rFonts w:hint="eastAsia" w:cs="仿宋_GB2312"/>
          <w:color w:val="000000" w:themeColor="text1"/>
          <w:szCs w:val="24"/>
          <w:lang w:val="zh-CN"/>
          <w14:textFill>
            <w14:solidFill>
              <w14:schemeClr w14:val="tx1"/>
            </w14:solidFill>
          </w14:textFill>
        </w:rPr>
        <w:t>封面：</w:t>
      </w:r>
    </w:p>
    <w:p w14:paraId="74CB6D60">
      <w:pPr>
        <w:autoSpaceDE w:val="0"/>
        <w:autoSpaceDN w:val="0"/>
        <w:adjustRightInd w:val="0"/>
        <w:rPr>
          <w:rFonts w:hint="eastAsia"/>
          <w:color w:val="000000" w:themeColor="text1"/>
          <w:sz w:val="21"/>
          <w:szCs w:val="24"/>
          <w14:textFill>
            <w14:solidFill>
              <w14:schemeClr w14:val="tx1"/>
            </w14:solidFill>
          </w14:textFill>
        </w:rPr>
      </w:pPr>
    </w:p>
    <w:p w14:paraId="736A7B91">
      <w:pPr>
        <w:autoSpaceDE w:val="0"/>
        <w:autoSpaceDN w:val="0"/>
        <w:adjustRightInd w:val="0"/>
        <w:rPr>
          <w:rFonts w:hint="eastAsia"/>
          <w:color w:val="000000" w:themeColor="text1"/>
          <w:sz w:val="21"/>
          <w:szCs w:val="24"/>
          <w14:textFill>
            <w14:solidFill>
              <w14:schemeClr w14:val="tx1"/>
            </w14:solidFill>
          </w14:textFill>
        </w:rPr>
      </w:pPr>
    </w:p>
    <w:p w14:paraId="6CF5670C">
      <w:pPr>
        <w:autoSpaceDE w:val="0"/>
        <w:autoSpaceDN w:val="0"/>
        <w:adjustRightInd w:val="0"/>
        <w:jc w:val="center"/>
        <w:rPr>
          <w:rFonts w:hint="eastAsia"/>
          <w:color w:val="000000" w:themeColor="text1"/>
          <w:sz w:val="21"/>
          <w:szCs w:val="24"/>
          <w14:textFill>
            <w14:solidFill>
              <w14:schemeClr w14:val="tx1"/>
            </w14:solidFill>
          </w14:textFill>
        </w:rPr>
      </w:pPr>
    </w:p>
    <w:p w14:paraId="4DEA42B9">
      <w:pPr>
        <w:autoSpaceDE w:val="0"/>
        <w:autoSpaceDN w:val="0"/>
        <w:adjustRightInd w:val="0"/>
        <w:jc w:val="center"/>
        <w:rPr>
          <w:rFonts w:hint="eastAsia"/>
          <w:b/>
          <w:color w:val="000000" w:themeColor="text1"/>
          <w:sz w:val="84"/>
          <w:szCs w:val="84"/>
          <w14:textFill>
            <w14:solidFill>
              <w14:schemeClr w14:val="tx1"/>
            </w14:solidFill>
          </w14:textFill>
        </w:rPr>
      </w:pPr>
      <w:r>
        <w:rPr>
          <w:rFonts w:hint="eastAsia"/>
          <w:b/>
          <w:color w:val="000000" w:themeColor="text1"/>
          <w:sz w:val="84"/>
          <w:szCs w:val="84"/>
          <w14:textFill>
            <w14:solidFill>
              <w14:schemeClr w14:val="tx1"/>
            </w14:solidFill>
          </w14:textFill>
        </w:rPr>
        <w:t>投 标 文 件</w:t>
      </w:r>
    </w:p>
    <w:p w14:paraId="79BF813B">
      <w:pPr>
        <w:autoSpaceDE w:val="0"/>
        <w:autoSpaceDN w:val="0"/>
        <w:adjustRightInd w:val="0"/>
        <w:jc w:val="center"/>
        <w:rPr>
          <w:rFonts w:hint="eastAsia"/>
          <w:b/>
          <w:color w:val="000000" w:themeColor="text1"/>
          <w:sz w:val="56"/>
          <w:szCs w:val="56"/>
          <w14:textFill>
            <w14:solidFill>
              <w14:schemeClr w14:val="tx1"/>
            </w14:solidFill>
          </w14:textFill>
        </w:rPr>
      </w:pPr>
      <w:r>
        <w:rPr>
          <w:rFonts w:hint="eastAsia"/>
          <w:b/>
          <w:color w:val="000000" w:themeColor="text1"/>
          <w:sz w:val="56"/>
          <w:szCs w:val="56"/>
          <w14:textFill>
            <w14:solidFill>
              <w14:schemeClr w14:val="tx1"/>
            </w14:solidFill>
          </w14:textFill>
        </w:rPr>
        <w:t>其他响应文件</w:t>
      </w:r>
    </w:p>
    <w:p w14:paraId="2F5042A5">
      <w:pPr>
        <w:autoSpaceDE w:val="0"/>
        <w:autoSpaceDN w:val="0"/>
        <w:adjustRightInd w:val="0"/>
        <w:rPr>
          <w:rFonts w:hint="eastAsia"/>
          <w:b/>
          <w:bCs/>
          <w:color w:val="000000" w:themeColor="text1"/>
          <w:sz w:val="22"/>
          <w14:textFill>
            <w14:solidFill>
              <w14:schemeClr w14:val="tx1"/>
            </w14:solidFill>
          </w14:textFill>
        </w:rPr>
      </w:pPr>
    </w:p>
    <w:p w14:paraId="737FBF3C">
      <w:pPr>
        <w:autoSpaceDE w:val="0"/>
        <w:autoSpaceDN w:val="0"/>
        <w:adjustRightInd w:val="0"/>
        <w:rPr>
          <w:rFonts w:hint="eastAsia"/>
          <w:color w:val="000000" w:themeColor="text1"/>
          <w:sz w:val="21"/>
          <w:szCs w:val="21"/>
          <w14:textFill>
            <w14:solidFill>
              <w14:schemeClr w14:val="tx1"/>
            </w14:solidFill>
          </w14:textFill>
        </w:rPr>
      </w:pPr>
    </w:p>
    <w:p w14:paraId="7FBA6999">
      <w:pPr>
        <w:autoSpaceDE w:val="0"/>
        <w:autoSpaceDN w:val="0"/>
        <w:adjustRightInd w:val="0"/>
        <w:rPr>
          <w:rFonts w:hint="eastAsia"/>
          <w:color w:val="000000" w:themeColor="text1"/>
          <w:sz w:val="21"/>
          <w:szCs w:val="21"/>
          <w14:textFill>
            <w14:solidFill>
              <w14:schemeClr w14:val="tx1"/>
            </w14:solidFill>
          </w14:textFill>
        </w:rPr>
      </w:pPr>
    </w:p>
    <w:p w14:paraId="211D4A6C">
      <w:pPr>
        <w:autoSpaceDE w:val="0"/>
        <w:autoSpaceDN w:val="0"/>
        <w:adjustRightInd w:val="0"/>
        <w:rPr>
          <w:rFonts w:hint="eastAsia"/>
          <w:color w:val="000000" w:themeColor="text1"/>
          <w:sz w:val="21"/>
          <w:szCs w:val="21"/>
          <w14:textFill>
            <w14:solidFill>
              <w14:schemeClr w14:val="tx1"/>
            </w14:solidFill>
          </w14:textFill>
        </w:rPr>
      </w:pPr>
    </w:p>
    <w:p w14:paraId="635553FE">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采购计划备案号：</w:t>
      </w:r>
      <w:r>
        <w:rPr>
          <w:rFonts w:ascii="黑体" w:hAnsi="黑体" w:eastAsia="黑体"/>
          <w:color w:val="000000" w:themeColor="text1"/>
          <w:sz w:val="32"/>
          <w:szCs w:val="32"/>
          <w:u w:val="single"/>
          <w14:textFill>
            <w14:solidFill>
              <w14:schemeClr w14:val="tx1"/>
            </w14:solidFill>
          </w14:textFill>
        </w:rPr>
        <w:t xml:space="preserve">                                  </w:t>
      </w:r>
    </w:p>
    <w:p w14:paraId="0396711E">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项目编号：</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6404FF9C">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项目名称：</w:t>
      </w:r>
      <w:r>
        <w:rPr>
          <w:rFonts w:ascii="黑体" w:hAnsi="黑体" w:eastAsia="黑体"/>
          <w:color w:val="000000" w:themeColor="text1"/>
          <w:sz w:val="32"/>
          <w:szCs w:val="32"/>
          <w14:textFill>
            <w14:solidFill>
              <w14:schemeClr w14:val="tx1"/>
            </w14:solidFill>
          </w14:textFill>
        </w:rPr>
        <w:tab/>
      </w:r>
      <w:r>
        <w:rPr>
          <w:rFonts w:ascii="黑体" w:hAnsi="黑体" w:eastAsia="黑体"/>
          <w:color w:val="000000" w:themeColor="text1"/>
          <w:sz w:val="32"/>
          <w:szCs w:val="32"/>
          <w:u w:val="single"/>
          <w14:textFill>
            <w14:solidFill>
              <w14:schemeClr w14:val="tx1"/>
            </w14:solidFill>
          </w14:textFill>
        </w:rPr>
        <w:t xml:space="preserve">                                       </w:t>
      </w:r>
    </w:p>
    <w:p w14:paraId="2434EE3D">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采购包编号：</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6CA1C800">
      <w:pPr>
        <w:ind w:left="420" w:leftChars="175"/>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采购包名称：</w:t>
      </w:r>
      <w:r>
        <w:rPr>
          <w:rFonts w:ascii="黑体" w:hAnsi="黑体" w:eastAsia="黑体"/>
          <w:color w:val="000000" w:themeColor="text1"/>
          <w:sz w:val="32"/>
          <w:szCs w:val="32"/>
          <w:u w:val="single"/>
          <w14:textFill>
            <w14:solidFill>
              <w14:schemeClr w14:val="tx1"/>
            </w14:solidFill>
          </w14:textFill>
        </w:rPr>
        <w:t xml:space="preserve"> </w:t>
      </w:r>
      <w:r>
        <w:rPr>
          <w:rFonts w:hint="eastAsia" w:ascii="黑体" w:hAnsi="黑体" w:eastAsia="黑体"/>
          <w:color w:val="000000" w:themeColor="text1"/>
          <w:sz w:val="32"/>
          <w:szCs w:val="32"/>
          <w:u w:val="single"/>
          <w14:textFill>
            <w14:solidFill>
              <w14:schemeClr w14:val="tx1"/>
            </w14:solidFill>
          </w14:textFill>
        </w:rPr>
        <w:t>【如有】</w:t>
      </w:r>
      <w:r>
        <w:rPr>
          <w:rFonts w:ascii="黑体" w:hAnsi="黑体" w:eastAsia="黑体"/>
          <w:color w:val="000000" w:themeColor="text1"/>
          <w:sz w:val="32"/>
          <w:szCs w:val="32"/>
          <w:u w:val="single"/>
          <w14:textFill>
            <w14:solidFill>
              <w14:schemeClr w14:val="tx1"/>
            </w14:solidFill>
          </w14:textFill>
        </w:rPr>
        <w:t xml:space="preserve">                            </w:t>
      </w:r>
    </w:p>
    <w:p w14:paraId="117C4849">
      <w:pPr>
        <w:ind w:left="420" w:leftChars="175"/>
        <w:rPr>
          <w:rFonts w:hint="eastAsia" w:ascii="黑体" w:hAnsi="黑体" w:eastAsia="黑体"/>
          <w:color w:val="000000" w:themeColor="text1"/>
          <w:sz w:val="32"/>
          <w:szCs w:val="32"/>
          <w14:textFill>
            <w14:solidFill>
              <w14:schemeClr w14:val="tx1"/>
            </w14:solidFill>
          </w14:textFill>
        </w:rPr>
      </w:pPr>
      <w:r>
        <w:rPr>
          <w:rFonts w:hint="eastAsia"/>
          <w:b/>
          <w:bCs/>
          <w:color w:val="000000" w:themeColor="text1"/>
          <w:sz w:val="28"/>
          <w:szCs w:val="28"/>
          <w14:textFill>
            <w14:solidFill>
              <w14:schemeClr w14:val="tx1"/>
            </w14:solidFill>
          </w14:textFill>
        </w:rPr>
        <w:t>投标人</w:t>
      </w:r>
      <w:r>
        <w:rPr>
          <w:rFonts w:hint="eastAsia" w:ascii="黑体" w:hAnsi="黑体" w:eastAsia="黑体"/>
          <w:color w:val="000000" w:themeColor="text1"/>
          <w:sz w:val="32"/>
          <w:szCs w:val="32"/>
          <w14:textFill>
            <w14:solidFill>
              <w14:schemeClr w14:val="tx1"/>
            </w14:solidFill>
          </w14:textFill>
        </w:rPr>
        <w:t>：</w:t>
      </w:r>
      <w:r>
        <w:rPr>
          <w:rFonts w:ascii="黑体" w:hAnsi="黑体" w:eastAsia="黑体"/>
          <w:color w:val="000000" w:themeColor="text1"/>
          <w:sz w:val="32"/>
          <w:szCs w:val="32"/>
          <w:u w:val="single"/>
          <w14:textFill>
            <w14:solidFill>
              <w14:schemeClr w14:val="tx1"/>
            </w14:solidFill>
          </w14:textFill>
        </w:rPr>
        <w:t xml:space="preserve">                                          </w:t>
      </w:r>
    </w:p>
    <w:p w14:paraId="34904152">
      <w:pPr>
        <w:ind w:firstLine="420"/>
        <w:rPr>
          <w:rFonts w:hint="eastAsia"/>
          <w:b/>
          <w:bCs/>
          <w:color w:val="000000" w:themeColor="text1"/>
          <w:sz w:val="28"/>
          <w:szCs w:val="28"/>
          <w14:textFill>
            <w14:solidFill>
              <w14:schemeClr w14:val="tx1"/>
            </w14:solidFill>
          </w14:textFill>
        </w:rPr>
      </w:pPr>
    </w:p>
    <w:p w14:paraId="79DF927D">
      <w:pPr>
        <w:ind w:firstLine="420"/>
        <w:rPr>
          <w:rFonts w:hint="eastAsia"/>
          <w:b/>
          <w:bCs/>
          <w:color w:val="000000" w:themeColor="text1"/>
          <w:sz w:val="28"/>
          <w:szCs w:val="28"/>
          <w14:textFill>
            <w14:solidFill>
              <w14:schemeClr w14:val="tx1"/>
            </w14:solidFill>
          </w14:textFill>
        </w:rPr>
      </w:pPr>
    </w:p>
    <w:p w14:paraId="79AC0F68">
      <w:pPr>
        <w:ind w:firstLine="420"/>
        <w:rPr>
          <w:rFonts w:hint="eastAsia"/>
          <w:b/>
          <w:bCs/>
          <w:color w:val="000000" w:themeColor="text1"/>
          <w:sz w:val="28"/>
          <w:szCs w:val="28"/>
          <w14:textFill>
            <w14:solidFill>
              <w14:schemeClr w14:val="tx1"/>
            </w14:solidFill>
          </w14:textFill>
        </w:rPr>
      </w:pPr>
    </w:p>
    <w:p w14:paraId="52A4596E">
      <w:pPr>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年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 xml:space="preserve">月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日</w:t>
      </w:r>
    </w:p>
    <w:p w14:paraId="2ECC2CC7">
      <w:pPr>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74224114">
      <w:pPr>
        <w:rPr>
          <w:rFonts w:hint="eastAsia"/>
          <w:color w:val="000000" w:themeColor="text1"/>
          <w:lang w:val="zh-CN"/>
          <w14:textFill>
            <w14:solidFill>
              <w14:schemeClr w14:val="tx1"/>
            </w14:solidFill>
          </w14:textFill>
        </w:rPr>
      </w:pPr>
    </w:p>
    <w:p w14:paraId="0D0FAC1B">
      <w:pPr>
        <w:pStyle w:val="5"/>
        <w:numPr>
          <w:ilvl w:val="0"/>
          <w:numId w:val="31"/>
        </w:numPr>
        <w:spacing w:before="0" w:after="0"/>
        <w:ind w:left="0"/>
        <w:rPr>
          <w:rFonts w:hint="eastAsia"/>
          <w:color w:val="000000" w:themeColor="text1"/>
          <w14:textFill>
            <w14:solidFill>
              <w14:schemeClr w14:val="tx1"/>
            </w14:solidFill>
          </w14:textFill>
        </w:rPr>
      </w:pPr>
      <w:bookmarkStart w:id="476" w:name="_Toc155185934"/>
      <w:bookmarkStart w:id="477" w:name="_Toc24565"/>
      <w:bookmarkStart w:id="478" w:name="_Toc21806"/>
      <w:r>
        <w:rPr>
          <w:rFonts w:hint="eastAsia"/>
          <w:color w:val="000000" w:themeColor="text1"/>
          <w14:textFill>
            <w14:solidFill>
              <w14:schemeClr w14:val="tx1"/>
            </w14:solidFill>
          </w14:textFill>
        </w:rPr>
        <w:t>商务部分</w:t>
      </w:r>
      <w:bookmarkEnd w:id="476"/>
      <w:bookmarkEnd w:id="477"/>
      <w:bookmarkEnd w:id="478"/>
    </w:p>
    <w:p w14:paraId="21F67B57">
      <w:pPr>
        <w:pStyle w:val="6"/>
        <w:numPr>
          <w:ilvl w:val="0"/>
          <w:numId w:val="32"/>
        </w:numPr>
        <w:spacing w:before="0" w:after="0"/>
        <w:ind w:left="0"/>
        <w:rPr>
          <w:rFonts w:hint="eastAsia"/>
          <w:color w:val="000000" w:themeColor="text1"/>
          <w14:textFill>
            <w14:solidFill>
              <w14:schemeClr w14:val="tx1"/>
            </w14:solidFill>
          </w14:textFill>
        </w:rPr>
      </w:pPr>
      <w:bookmarkStart w:id="479" w:name="_Toc6210"/>
      <w:bookmarkStart w:id="480" w:name="_Toc30359"/>
      <w:r>
        <w:rPr>
          <w:rFonts w:hint="eastAsia"/>
          <w:color w:val="000000" w:themeColor="text1"/>
          <w14:textFill>
            <w14:solidFill>
              <w14:schemeClr w14:val="tx1"/>
            </w14:solidFill>
          </w14:textFill>
        </w:rPr>
        <w:t>商务响应偏离表</w:t>
      </w:r>
      <w:bookmarkEnd w:id="479"/>
      <w:bookmarkEnd w:id="480"/>
    </w:p>
    <w:p w14:paraId="230B4043">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项目名称：                                         </w:t>
      </w:r>
    </w:p>
    <w:p w14:paraId="5589FD6A">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项目编号：        </w:t>
      </w:r>
    </w:p>
    <w:tbl>
      <w:tblPr>
        <w:tblStyle w:val="81"/>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376"/>
        <w:gridCol w:w="1708"/>
        <w:gridCol w:w="1858"/>
        <w:gridCol w:w="1858"/>
      </w:tblGrid>
      <w:tr w14:paraId="4738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14:paraId="1E1EC0E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376" w:type="dxa"/>
            <w:vAlign w:val="center"/>
          </w:tcPr>
          <w:p w14:paraId="3EE62D8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招标文件的商务条款</w:t>
            </w:r>
          </w:p>
        </w:tc>
        <w:tc>
          <w:tcPr>
            <w:tcW w:w="1708" w:type="dxa"/>
            <w:vAlign w:val="center"/>
          </w:tcPr>
          <w:p w14:paraId="0E722CB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投标文件的响应内容</w:t>
            </w:r>
          </w:p>
        </w:tc>
        <w:tc>
          <w:tcPr>
            <w:tcW w:w="1858" w:type="dxa"/>
          </w:tcPr>
          <w:p w14:paraId="1ED0958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响应情况</w:t>
            </w:r>
          </w:p>
        </w:tc>
        <w:tc>
          <w:tcPr>
            <w:tcW w:w="1858" w:type="dxa"/>
          </w:tcPr>
          <w:p w14:paraId="23FF354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说明及索引</w:t>
            </w:r>
          </w:p>
        </w:tc>
      </w:tr>
      <w:tr w14:paraId="5327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844532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376" w:type="dxa"/>
          </w:tcPr>
          <w:p w14:paraId="12BBF29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708" w:type="dxa"/>
          </w:tcPr>
          <w:p w14:paraId="4B0E77B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858" w:type="dxa"/>
          </w:tcPr>
          <w:p w14:paraId="5F1B5E0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/偏离</w:t>
            </w:r>
          </w:p>
        </w:tc>
        <w:tc>
          <w:tcPr>
            <w:tcW w:w="1858" w:type="dxa"/>
          </w:tcPr>
          <w:p w14:paraId="7E8409D1">
            <w:pPr>
              <w:pStyle w:val="95"/>
              <w:rPr>
                <w:rFonts w:hint="eastAsia"/>
                <w:color w:val="000000" w:themeColor="text1"/>
                <w14:textFill>
                  <w14:solidFill>
                    <w14:schemeClr w14:val="tx1"/>
                  </w14:solidFill>
                </w14:textFill>
              </w:rPr>
            </w:pPr>
          </w:p>
        </w:tc>
      </w:tr>
      <w:tr w14:paraId="6A1D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94E1EC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376" w:type="dxa"/>
          </w:tcPr>
          <w:p w14:paraId="50E0117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708" w:type="dxa"/>
          </w:tcPr>
          <w:p w14:paraId="48A1A13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858" w:type="dxa"/>
          </w:tcPr>
          <w:p w14:paraId="1FB06303">
            <w:pPr>
              <w:pStyle w:val="95"/>
              <w:rPr>
                <w:rFonts w:hint="eastAsia"/>
                <w:color w:val="000000" w:themeColor="text1"/>
                <w14:textFill>
                  <w14:solidFill>
                    <w14:schemeClr w14:val="tx1"/>
                  </w14:solidFill>
                </w14:textFill>
              </w:rPr>
            </w:pPr>
          </w:p>
        </w:tc>
        <w:tc>
          <w:tcPr>
            <w:tcW w:w="1858" w:type="dxa"/>
          </w:tcPr>
          <w:p w14:paraId="02CF30D0">
            <w:pPr>
              <w:pStyle w:val="95"/>
              <w:rPr>
                <w:rFonts w:hint="eastAsia"/>
                <w:color w:val="000000" w:themeColor="text1"/>
                <w14:textFill>
                  <w14:solidFill>
                    <w14:schemeClr w14:val="tx1"/>
                  </w14:solidFill>
                </w14:textFill>
              </w:rPr>
            </w:pPr>
          </w:p>
        </w:tc>
      </w:tr>
      <w:tr w14:paraId="7DAA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F4B212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376" w:type="dxa"/>
          </w:tcPr>
          <w:p w14:paraId="705E95B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708" w:type="dxa"/>
          </w:tcPr>
          <w:p w14:paraId="59F47BE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858" w:type="dxa"/>
          </w:tcPr>
          <w:p w14:paraId="628AE12F">
            <w:pPr>
              <w:pStyle w:val="95"/>
              <w:rPr>
                <w:rFonts w:hint="eastAsia"/>
                <w:color w:val="000000" w:themeColor="text1"/>
                <w14:textFill>
                  <w14:solidFill>
                    <w14:schemeClr w14:val="tx1"/>
                  </w14:solidFill>
                </w14:textFill>
              </w:rPr>
            </w:pPr>
          </w:p>
        </w:tc>
        <w:tc>
          <w:tcPr>
            <w:tcW w:w="1858" w:type="dxa"/>
          </w:tcPr>
          <w:p w14:paraId="41B6F6D8">
            <w:pPr>
              <w:pStyle w:val="95"/>
              <w:rPr>
                <w:rFonts w:hint="eastAsia"/>
                <w:color w:val="000000" w:themeColor="text1"/>
                <w14:textFill>
                  <w14:solidFill>
                    <w14:schemeClr w14:val="tx1"/>
                  </w14:solidFill>
                </w14:textFill>
              </w:rPr>
            </w:pPr>
          </w:p>
        </w:tc>
      </w:tr>
      <w:tr w14:paraId="599B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3CDEE676">
            <w:pPr>
              <w:pStyle w:val="95"/>
              <w:rPr>
                <w:rFonts w:hint="eastAsia"/>
                <w:color w:val="000000" w:themeColor="text1"/>
                <w14:textFill>
                  <w14:solidFill>
                    <w14:schemeClr w14:val="tx1"/>
                  </w14:solidFill>
                </w14:textFill>
              </w:rPr>
            </w:pPr>
          </w:p>
        </w:tc>
        <w:tc>
          <w:tcPr>
            <w:tcW w:w="2376" w:type="dxa"/>
          </w:tcPr>
          <w:p w14:paraId="3142BE25">
            <w:pPr>
              <w:pStyle w:val="95"/>
              <w:rPr>
                <w:rFonts w:hint="eastAsia"/>
                <w:color w:val="000000" w:themeColor="text1"/>
                <w14:textFill>
                  <w14:solidFill>
                    <w14:schemeClr w14:val="tx1"/>
                  </w14:solidFill>
                </w14:textFill>
              </w:rPr>
            </w:pPr>
          </w:p>
        </w:tc>
        <w:tc>
          <w:tcPr>
            <w:tcW w:w="1708" w:type="dxa"/>
          </w:tcPr>
          <w:p w14:paraId="32CD43EC">
            <w:pPr>
              <w:pStyle w:val="95"/>
              <w:rPr>
                <w:rFonts w:hint="eastAsia"/>
                <w:color w:val="000000" w:themeColor="text1"/>
                <w14:textFill>
                  <w14:solidFill>
                    <w14:schemeClr w14:val="tx1"/>
                  </w14:solidFill>
                </w14:textFill>
              </w:rPr>
            </w:pPr>
          </w:p>
        </w:tc>
        <w:tc>
          <w:tcPr>
            <w:tcW w:w="1858" w:type="dxa"/>
          </w:tcPr>
          <w:p w14:paraId="725C2C83">
            <w:pPr>
              <w:pStyle w:val="95"/>
              <w:rPr>
                <w:rFonts w:hint="eastAsia"/>
                <w:color w:val="000000" w:themeColor="text1"/>
                <w14:textFill>
                  <w14:solidFill>
                    <w14:schemeClr w14:val="tx1"/>
                  </w14:solidFill>
                </w14:textFill>
              </w:rPr>
            </w:pPr>
          </w:p>
        </w:tc>
        <w:tc>
          <w:tcPr>
            <w:tcW w:w="1858" w:type="dxa"/>
          </w:tcPr>
          <w:p w14:paraId="4A0B5C5F">
            <w:pPr>
              <w:pStyle w:val="95"/>
              <w:rPr>
                <w:rFonts w:hint="eastAsia"/>
                <w:color w:val="000000" w:themeColor="text1"/>
                <w14:textFill>
                  <w14:solidFill>
                    <w14:schemeClr w14:val="tx1"/>
                  </w14:solidFill>
                </w14:textFill>
              </w:rPr>
            </w:pPr>
          </w:p>
        </w:tc>
      </w:tr>
      <w:tr w14:paraId="5A1B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5E754621">
            <w:pPr>
              <w:pStyle w:val="95"/>
              <w:rPr>
                <w:rFonts w:hint="eastAsia"/>
                <w:color w:val="000000" w:themeColor="text1"/>
                <w14:textFill>
                  <w14:solidFill>
                    <w14:schemeClr w14:val="tx1"/>
                  </w14:solidFill>
                </w14:textFill>
              </w:rPr>
            </w:pPr>
          </w:p>
        </w:tc>
        <w:tc>
          <w:tcPr>
            <w:tcW w:w="2376" w:type="dxa"/>
          </w:tcPr>
          <w:p w14:paraId="64D587AC">
            <w:pPr>
              <w:pStyle w:val="95"/>
              <w:rPr>
                <w:rFonts w:hint="eastAsia"/>
                <w:color w:val="000000" w:themeColor="text1"/>
                <w14:textFill>
                  <w14:solidFill>
                    <w14:schemeClr w14:val="tx1"/>
                  </w14:solidFill>
                </w14:textFill>
              </w:rPr>
            </w:pPr>
          </w:p>
        </w:tc>
        <w:tc>
          <w:tcPr>
            <w:tcW w:w="1708" w:type="dxa"/>
          </w:tcPr>
          <w:p w14:paraId="33E326D6">
            <w:pPr>
              <w:pStyle w:val="95"/>
              <w:rPr>
                <w:rFonts w:hint="eastAsia"/>
                <w:color w:val="000000" w:themeColor="text1"/>
                <w14:textFill>
                  <w14:solidFill>
                    <w14:schemeClr w14:val="tx1"/>
                  </w14:solidFill>
                </w14:textFill>
              </w:rPr>
            </w:pPr>
          </w:p>
        </w:tc>
        <w:tc>
          <w:tcPr>
            <w:tcW w:w="1858" w:type="dxa"/>
          </w:tcPr>
          <w:p w14:paraId="281E6016">
            <w:pPr>
              <w:pStyle w:val="95"/>
              <w:rPr>
                <w:rFonts w:hint="eastAsia"/>
                <w:color w:val="000000" w:themeColor="text1"/>
                <w14:textFill>
                  <w14:solidFill>
                    <w14:schemeClr w14:val="tx1"/>
                  </w14:solidFill>
                </w14:textFill>
              </w:rPr>
            </w:pPr>
          </w:p>
        </w:tc>
        <w:tc>
          <w:tcPr>
            <w:tcW w:w="1858" w:type="dxa"/>
          </w:tcPr>
          <w:p w14:paraId="0046A75D">
            <w:pPr>
              <w:pStyle w:val="95"/>
              <w:rPr>
                <w:rFonts w:hint="eastAsia"/>
                <w:color w:val="000000" w:themeColor="text1"/>
                <w14:textFill>
                  <w14:solidFill>
                    <w14:schemeClr w14:val="tx1"/>
                  </w14:solidFill>
                </w14:textFill>
              </w:rPr>
            </w:pPr>
          </w:p>
        </w:tc>
      </w:tr>
      <w:tr w14:paraId="04BB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0C5546E6">
            <w:pPr>
              <w:pStyle w:val="95"/>
              <w:rPr>
                <w:rFonts w:hint="eastAsia"/>
                <w:color w:val="000000" w:themeColor="text1"/>
                <w14:textFill>
                  <w14:solidFill>
                    <w14:schemeClr w14:val="tx1"/>
                  </w14:solidFill>
                </w14:textFill>
              </w:rPr>
            </w:pPr>
          </w:p>
        </w:tc>
        <w:tc>
          <w:tcPr>
            <w:tcW w:w="2376" w:type="dxa"/>
          </w:tcPr>
          <w:p w14:paraId="571476A0">
            <w:pPr>
              <w:pStyle w:val="95"/>
              <w:rPr>
                <w:rFonts w:hint="eastAsia"/>
                <w:color w:val="000000" w:themeColor="text1"/>
                <w14:textFill>
                  <w14:solidFill>
                    <w14:schemeClr w14:val="tx1"/>
                  </w14:solidFill>
                </w14:textFill>
              </w:rPr>
            </w:pPr>
          </w:p>
        </w:tc>
        <w:tc>
          <w:tcPr>
            <w:tcW w:w="1708" w:type="dxa"/>
          </w:tcPr>
          <w:p w14:paraId="71E8BAF8">
            <w:pPr>
              <w:pStyle w:val="95"/>
              <w:rPr>
                <w:rFonts w:hint="eastAsia"/>
                <w:color w:val="000000" w:themeColor="text1"/>
                <w14:textFill>
                  <w14:solidFill>
                    <w14:schemeClr w14:val="tx1"/>
                  </w14:solidFill>
                </w14:textFill>
              </w:rPr>
            </w:pPr>
          </w:p>
        </w:tc>
        <w:tc>
          <w:tcPr>
            <w:tcW w:w="1858" w:type="dxa"/>
          </w:tcPr>
          <w:p w14:paraId="58F45335">
            <w:pPr>
              <w:pStyle w:val="95"/>
              <w:rPr>
                <w:rFonts w:hint="eastAsia"/>
                <w:color w:val="000000" w:themeColor="text1"/>
                <w14:textFill>
                  <w14:solidFill>
                    <w14:schemeClr w14:val="tx1"/>
                  </w14:solidFill>
                </w14:textFill>
              </w:rPr>
            </w:pPr>
          </w:p>
        </w:tc>
        <w:tc>
          <w:tcPr>
            <w:tcW w:w="1858" w:type="dxa"/>
          </w:tcPr>
          <w:p w14:paraId="144960E3">
            <w:pPr>
              <w:pStyle w:val="95"/>
              <w:rPr>
                <w:rFonts w:hint="eastAsia"/>
                <w:color w:val="000000" w:themeColor="text1"/>
                <w14:textFill>
                  <w14:solidFill>
                    <w14:schemeClr w14:val="tx1"/>
                  </w14:solidFill>
                </w14:textFill>
              </w:rPr>
            </w:pPr>
          </w:p>
        </w:tc>
      </w:tr>
      <w:tr w14:paraId="5FD7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EC29369">
            <w:pPr>
              <w:pStyle w:val="95"/>
              <w:rPr>
                <w:rFonts w:hint="eastAsia"/>
                <w:color w:val="000000" w:themeColor="text1"/>
                <w14:textFill>
                  <w14:solidFill>
                    <w14:schemeClr w14:val="tx1"/>
                  </w14:solidFill>
                </w14:textFill>
              </w:rPr>
            </w:pPr>
          </w:p>
        </w:tc>
        <w:tc>
          <w:tcPr>
            <w:tcW w:w="2376" w:type="dxa"/>
          </w:tcPr>
          <w:p w14:paraId="1CAB5149">
            <w:pPr>
              <w:pStyle w:val="95"/>
              <w:rPr>
                <w:rFonts w:hint="eastAsia"/>
                <w:color w:val="000000" w:themeColor="text1"/>
                <w14:textFill>
                  <w14:solidFill>
                    <w14:schemeClr w14:val="tx1"/>
                  </w14:solidFill>
                </w14:textFill>
              </w:rPr>
            </w:pPr>
          </w:p>
        </w:tc>
        <w:tc>
          <w:tcPr>
            <w:tcW w:w="1708" w:type="dxa"/>
          </w:tcPr>
          <w:p w14:paraId="2DD699FA">
            <w:pPr>
              <w:pStyle w:val="95"/>
              <w:rPr>
                <w:rFonts w:hint="eastAsia"/>
                <w:color w:val="000000" w:themeColor="text1"/>
                <w14:textFill>
                  <w14:solidFill>
                    <w14:schemeClr w14:val="tx1"/>
                  </w14:solidFill>
                </w14:textFill>
              </w:rPr>
            </w:pPr>
          </w:p>
        </w:tc>
        <w:tc>
          <w:tcPr>
            <w:tcW w:w="1858" w:type="dxa"/>
          </w:tcPr>
          <w:p w14:paraId="049FFD0B">
            <w:pPr>
              <w:pStyle w:val="95"/>
              <w:rPr>
                <w:rFonts w:hint="eastAsia"/>
                <w:color w:val="000000" w:themeColor="text1"/>
                <w14:textFill>
                  <w14:solidFill>
                    <w14:schemeClr w14:val="tx1"/>
                  </w14:solidFill>
                </w14:textFill>
              </w:rPr>
            </w:pPr>
          </w:p>
        </w:tc>
        <w:tc>
          <w:tcPr>
            <w:tcW w:w="1858" w:type="dxa"/>
          </w:tcPr>
          <w:p w14:paraId="042AF2CB">
            <w:pPr>
              <w:pStyle w:val="95"/>
              <w:rPr>
                <w:rFonts w:hint="eastAsia"/>
                <w:color w:val="000000" w:themeColor="text1"/>
                <w14:textFill>
                  <w14:solidFill>
                    <w14:schemeClr w14:val="tx1"/>
                  </w14:solidFill>
                </w14:textFill>
              </w:rPr>
            </w:pPr>
          </w:p>
        </w:tc>
      </w:tr>
      <w:tr w14:paraId="07A8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FE778EE">
            <w:pPr>
              <w:pStyle w:val="95"/>
              <w:rPr>
                <w:rFonts w:hint="eastAsia"/>
                <w:color w:val="000000" w:themeColor="text1"/>
                <w14:textFill>
                  <w14:solidFill>
                    <w14:schemeClr w14:val="tx1"/>
                  </w14:solidFill>
                </w14:textFill>
              </w:rPr>
            </w:pPr>
          </w:p>
        </w:tc>
        <w:tc>
          <w:tcPr>
            <w:tcW w:w="2376" w:type="dxa"/>
          </w:tcPr>
          <w:p w14:paraId="11F92BEA">
            <w:pPr>
              <w:pStyle w:val="95"/>
              <w:rPr>
                <w:rFonts w:hint="eastAsia"/>
                <w:color w:val="000000" w:themeColor="text1"/>
                <w14:textFill>
                  <w14:solidFill>
                    <w14:schemeClr w14:val="tx1"/>
                  </w14:solidFill>
                </w14:textFill>
              </w:rPr>
            </w:pPr>
          </w:p>
        </w:tc>
        <w:tc>
          <w:tcPr>
            <w:tcW w:w="1708" w:type="dxa"/>
          </w:tcPr>
          <w:p w14:paraId="4EF9ACB4">
            <w:pPr>
              <w:pStyle w:val="95"/>
              <w:rPr>
                <w:rFonts w:hint="eastAsia"/>
                <w:color w:val="000000" w:themeColor="text1"/>
                <w14:textFill>
                  <w14:solidFill>
                    <w14:schemeClr w14:val="tx1"/>
                  </w14:solidFill>
                </w14:textFill>
              </w:rPr>
            </w:pPr>
          </w:p>
        </w:tc>
        <w:tc>
          <w:tcPr>
            <w:tcW w:w="1858" w:type="dxa"/>
          </w:tcPr>
          <w:p w14:paraId="43F6D046">
            <w:pPr>
              <w:pStyle w:val="95"/>
              <w:rPr>
                <w:rFonts w:hint="eastAsia"/>
                <w:color w:val="000000" w:themeColor="text1"/>
                <w14:textFill>
                  <w14:solidFill>
                    <w14:schemeClr w14:val="tx1"/>
                  </w14:solidFill>
                </w14:textFill>
              </w:rPr>
            </w:pPr>
          </w:p>
        </w:tc>
        <w:tc>
          <w:tcPr>
            <w:tcW w:w="1858" w:type="dxa"/>
          </w:tcPr>
          <w:p w14:paraId="2262D585">
            <w:pPr>
              <w:pStyle w:val="95"/>
              <w:rPr>
                <w:rFonts w:hint="eastAsia"/>
                <w:color w:val="000000" w:themeColor="text1"/>
                <w14:textFill>
                  <w14:solidFill>
                    <w14:schemeClr w14:val="tx1"/>
                  </w14:solidFill>
                </w14:textFill>
              </w:rPr>
            </w:pPr>
          </w:p>
        </w:tc>
      </w:tr>
      <w:tr w14:paraId="388E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1E7DFC34">
            <w:pPr>
              <w:pStyle w:val="95"/>
              <w:rPr>
                <w:rFonts w:hint="eastAsia"/>
                <w:color w:val="000000" w:themeColor="text1"/>
                <w14:textFill>
                  <w14:solidFill>
                    <w14:schemeClr w14:val="tx1"/>
                  </w14:solidFill>
                </w14:textFill>
              </w:rPr>
            </w:pPr>
          </w:p>
        </w:tc>
        <w:tc>
          <w:tcPr>
            <w:tcW w:w="2376" w:type="dxa"/>
          </w:tcPr>
          <w:p w14:paraId="386BBEE8">
            <w:pPr>
              <w:pStyle w:val="95"/>
              <w:rPr>
                <w:rFonts w:hint="eastAsia"/>
                <w:color w:val="000000" w:themeColor="text1"/>
                <w14:textFill>
                  <w14:solidFill>
                    <w14:schemeClr w14:val="tx1"/>
                  </w14:solidFill>
                </w14:textFill>
              </w:rPr>
            </w:pPr>
          </w:p>
        </w:tc>
        <w:tc>
          <w:tcPr>
            <w:tcW w:w="1708" w:type="dxa"/>
          </w:tcPr>
          <w:p w14:paraId="4351D42B">
            <w:pPr>
              <w:pStyle w:val="95"/>
              <w:rPr>
                <w:rFonts w:hint="eastAsia"/>
                <w:color w:val="000000" w:themeColor="text1"/>
                <w14:textFill>
                  <w14:solidFill>
                    <w14:schemeClr w14:val="tx1"/>
                  </w14:solidFill>
                </w14:textFill>
              </w:rPr>
            </w:pPr>
          </w:p>
        </w:tc>
        <w:tc>
          <w:tcPr>
            <w:tcW w:w="1858" w:type="dxa"/>
          </w:tcPr>
          <w:p w14:paraId="1B244974">
            <w:pPr>
              <w:pStyle w:val="95"/>
              <w:rPr>
                <w:rFonts w:hint="eastAsia"/>
                <w:color w:val="000000" w:themeColor="text1"/>
                <w14:textFill>
                  <w14:solidFill>
                    <w14:schemeClr w14:val="tx1"/>
                  </w14:solidFill>
                </w14:textFill>
              </w:rPr>
            </w:pPr>
          </w:p>
        </w:tc>
        <w:tc>
          <w:tcPr>
            <w:tcW w:w="1858" w:type="dxa"/>
          </w:tcPr>
          <w:p w14:paraId="59DBB8D9">
            <w:pPr>
              <w:pStyle w:val="95"/>
              <w:rPr>
                <w:rFonts w:hint="eastAsia"/>
                <w:color w:val="000000" w:themeColor="text1"/>
                <w14:textFill>
                  <w14:solidFill>
                    <w14:schemeClr w14:val="tx1"/>
                  </w14:solidFill>
                </w14:textFill>
              </w:rPr>
            </w:pPr>
          </w:p>
        </w:tc>
      </w:tr>
      <w:tr w14:paraId="687F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EC27BA1">
            <w:pPr>
              <w:pStyle w:val="95"/>
              <w:rPr>
                <w:rFonts w:hint="eastAsia"/>
                <w:color w:val="000000" w:themeColor="text1"/>
                <w14:textFill>
                  <w14:solidFill>
                    <w14:schemeClr w14:val="tx1"/>
                  </w14:solidFill>
                </w14:textFill>
              </w:rPr>
            </w:pPr>
          </w:p>
        </w:tc>
        <w:tc>
          <w:tcPr>
            <w:tcW w:w="2376" w:type="dxa"/>
          </w:tcPr>
          <w:p w14:paraId="6BD7F19E">
            <w:pPr>
              <w:pStyle w:val="95"/>
              <w:rPr>
                <w:rFonts w:hint="eastAsia"/>
                <w:color w:val="000000" w:themeColor="text1"/>
                <w14:textFill>
                  <w14:solidFill>
                    <w14:schemeClr w14:val="tx1"/>
                  </w14:solidFill>
                </w14:textFill>
              </w:rPr>
            </w:pPr>
          </w:p>
        </w:tc>
        <w:tc>
          <w:tcPr>
            <w:tcW w:w="1708" w:type="dxa"/>
          </w:tcPr>
          <w:p w14:paraId="333BD496">
            <w:pPr>
              <w:pStyle w:val="95"/>
              <w:rPr>
                <w:rFonts w:hint="eastAsia"/>
                <w:color w:val="000000" w:themeColor="text1"/>
                <w14:textFill>
                  <w14:solidFill>
                    <w14:schemeClr w14:val="tx1"/>
                  </w14:solidFill>
                </w14:textFill>
              </w:rPr>
            </w:pPr>
          </w:p>
        </w:tc>
        <w:tc>
          <w:tcPr>
            <w:tcW w:w="1858" w:type="dxa"/>
          </w:tcPr>
          <w:p w14:paraId="2324033B">
            <w:pPr>
              <w:pStyle w:val="95"/>
              <w:rPr>
                <w:rFonts w:hint="eastAsia"/>
                <w:color w:val="000000" w:themeColor="text1"/>
                <w14:textFill>
                  <w14:solidFill>
                    <w14:schemeClr w14:val="tx1"/>
                  </w14:solidFill>
                </w14:textFill>
              </w:rPr>
            </w:pPr>
          </w:p>
        </w:tc>
        <w:tc>
          <w:tcPr>
            <w:tcW w:w="1858" w:type="dxa"/>
          </w:tcPr>
          <w:p w14:paraId="63DB0962">
            <w:pPr>
              <w:pStyle w:val="95"/>
              <w:rPr>
                <w:rFonts w:hint="eastAsia"/>
                <w:color w:val="000000" w:themeColor="text1"/>
                <w14:textFill>
                  <w14:solidFill>
                    <w14:schemeClr w14:val="tx1"/>
                  </w14:solidFill>
                </w14:textFill>
              </w:rPr>
            </w:pPr>
          </w:p>
        </w:tc>
      </w:tr>
      <w:tr w14:paraId="7574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B8FA957">
            <w:pPr>
              <w:pStyle w:val="95"/>
              <w:rPr>
                <w:rFonts w:hint="eastAsia"/>
                <w:color w:val="000000" w:themeColor="text1"/>
                <w14:textFill>
                  <w14:solidFill>
                    <w14:schemeClr w14:val="tx1"/>
                  </w14:solidFill>
                </w14:textFill>
              </w:rPr>
            </w:pPr>
          </w:p>
        </w:tc>
        <w:tc>
          <w:tcPr>
            <w:tcW w:w="2376" w:type="dxa"/>
          </w:tcPr>
          <w:p w14:paraId="5AFEF355">
            <w:pPr>
              <w:pStyle w:val="95"/>
              <w:rPr>
                <w:rFonts w:hint="eastAsia"/>
                <w:color w:val="000000" w:themeColor="text1"/>
                <w14:textFill>
                  <w14:solidFill>
                    <w14:schemeClr w14:val="tx1"/>
                  </w14:solidFill>
                </w14:textFill>
              </w:rPr>
            </w:pPr>
          </w:p>
        </w:tc>
        <w:tc>
          <w:tcPr>
            <w:tcW w:w="1708" w:type="dxa"/>
          </w:tcPr>
          <w:p w14:paraId="1469DF60">
            <w:pPr>
              <w:pStyle w:val="95"/>
              <w:rPr>
                <w:rFonts w:hint="eastAsia"/>
                <w:color w:val="000000" w:themeColor="text1"/>
                <w14:textFill>
                  <w14:solidFill>
                    <w14:schemeClr w14:val="tx1"/>
                  </w14:solidFill>
                </w14:textFill>
              </w:rPr>
            </w:pPr>
          </w:p>
        </w:tc>
        <w:tc>
          <w:tcPr>
            <w:tcW w:w="1858" w:type="dxa"/>
          </w:tcPr>
          <w:p w14:paraId="5360358A">
            <w:pPr>
              <w:pStyle w:val="95"/>
              <w:rPr>
                <w:rFonts w:hint="eastAsia"/>
                <w:color w:val="000000" w:themeColor="text1"/>
                <w14:textFill>
                  <w14:solidFill>
                    <w14:schemeClr w14:val="tx1"/>
                  </w14:solidFill>
                </w14:textFill>
              </w:rPr>
            </w:pPr>
          </w:p>
        </w:tc>
        <w:tc>
          <w:tcPr>
            <w:tcW w:w="1858" w:type="dxa"/>
          </w:tcPr>
          <w:p w14:paraId="1E524111">
            <w:pPr>
              <w:pStyle w:val="95"/>
              <w:rPr>
                <w:rFonts w:hint="eastAsia"/>
                <w:color w:val="000000" w:themeColor="text1"/>
                <w14:textFill>
                  <w14:solidFill>
                    <w14:schemeClr w14:val="tx1"/>
                  </w14:solidFill>
                </w14:textFill>
              </w:rPr>
            </w:pPr>
          </w:p>
        </w:tc>
      </w:tr>
      <w:tr w14:paraId="6C5E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7DC171FC">
            <w:pPr>
              <w:pStyle w:val="95"/>
              <w:rPr>
                <w:rFonts w:hint="eastAsia"/>
                <w:color w:val="000000" w:themeColor="text1"/>
                <w14:textFill>
                  <w14:solidFill>
                    <w14:schemeClr w14:val="tx1"/>
                  </w14:solidFill>
                </w14:textFill>
              </w:rPr>
            </w:pPr>
          </w:p>
        </w:tc>
        <w:tc>
          <w:tcPr>
            <w:tcW w:w="2376" w:type="dxa"/>
          </w:tcPr>
          <w:p w14:paraId="6140E9D6">
            <w:pPr>
              <w:pStyle w:val="95"/>
              <w:rPr>
                <w:rFonts w:hint="eastAsia"/>
                <w:color w:val="000000" w:themeColor="text1"/>
                <w14:textFill>
                  <w14:solidFill>
                    <w14:schemeClr w14:val="tx1"/>
                  </w14:solidFill>
                </w14:textFill>
              </w:rPr>
            </w:pPr>
          </w:p>
        </w:tc>
        <w:tc>
          <w:tcPr>
            <w:tcW w:w="1708" w:type="dxa"/>
          </w:tcPr>
          <w:p w14:paraId="1240B037">
            <w:pPr>
              <w:pStyle w:val="95"/>
              <w:rPr>
                <w:rFonts w:hint="eastAsia"/>
                <w:color w:val="000000" w:themeColor="text1"/>
                <w14:textFill>
                  <w14:solidFill>
                    <w14:schemeClr w14:val="tx1"/>
                  </w14:solidFill>
                </w14:textFill>
              </w:rPr>
            </w:pPr>
          </w:p>
        </w:tc>
        <w:tc>
          <w:tcPr>
            <w:tcW w:w="1858" w:type="dxa"/>
          </w:tcPr>
          <w:p w14:paraId="57414F66">
            <w:pPr>
              <w:pStyle w:val="95"/>
              <w:rPr>
                <w:rFonts w:hint="eastAsia"/>
                <w:color w:val="000000" w:themeColor="text1"/>
                <w14:textFill>
                  <w14:solidFill>
                    <w14:schemeClr w14:val="tx1"/>
                  </w14:solidFill>
                </w14:textFill>
              </w:rPr>
            </w:pPr>
          </w:p>
        </w:tc>
        <w:tc>
          <w:tcPr>
            <w:tcW w:w="1858" w:type="dxa"/>
          </w:tcPr>
          <w:p w14:paraId="33A7009A">
            <w:pPr>
              <w:pStyle w:val="95"/>
              <w:rPr>
                <w:rFonts w:hint="eastAsia"/>
                <w:color w:val="000000" w:themeColor="text1"/>
                <w14:textFill>
                  <w14:solidFill>
                    <w14:schemeClr w14:val="tx1"/>
                  </w14:solidFill>
                </w14:textFill>
              </w:rPr>
            </w:pPr>
          </w:p>
        </w:tc>
      </w:tr>
      <w:tr w14:paraId="482B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B1F4B70">
            <w:pPr>
              <w:pStyle w:val="95"/>
              <w:rPr>
                <w:rFonts w:hint="eastAsia"/>
                <w:color w:val="000000" w:themeColor="text1"/>
                <w14:textFill>
                  <w14:solidFill>
                    <w14:schemeClr w14:val="tx1"/>
                  </w14:solidFill>
                </w14:textFill>
              </w:rPr>
            </w:pPr>
          </w:p>
        </w:tc>
        <w:tc>
          <w:tcPr>
            <w:tcW w:w="2376" w:type="dxa"/>
          </w:tcPr>
          <w:p w14:paraId="35A2A6F2">
            <w:pPr>
              <w:pStyle w:val="95"/>
              <w:rPr>
                <w:rFonts w:hint="eastAsia"/>
                <w:color w:val="000000" w:themeColor="text1"/>
                <w14:textFill>
                  <w14:solidFill>
                    <w14:schemeClr w14:val="tx1"/>
                  </w14:solidFill>
                </w14:textFill>
              </w:rPr>
            </w:pPr>
          </w:p>
        </w:tc>
        <w:tc>
          <w:tcPr>
            <w:tcW w:w="1708" w:type="dxa"/>
          </w:tcPr>
          <w:p w14:paraId="562C84BA">
            <w:pPr>
              <w:pStyle w:val="95"/>
              <w:rPr>
                <w:rFonts w:hint="eastAsia"/>
                <w:color w:val="000000" w:themeColor="text1"/>
                <w14:textFill>
                  <w14:solidFill>
                    <w14:schemeClr w14:val="tx1"/>
                  </w14:solidFill>
                </w14:textFill>
              </w:rPr>
            </w:pPr>
          </w:p>
        </w:tc>
        <w:tc>
          <w:tcPr>
            <w:tcW w:w="1858" w:type="dxa"/>
          </w:tcPr>
          <w:p w14:paraId="59BA693D">
            <w:pPr>
              <w:pStyle w:val="95"/>
              <w:rPr>
                <w:rFonts w:hint="eastAsia"/>
                <w:color w:val="000000" w:themeColor="text1"/>
                <w14:textFill>
                  <w14:solidFill>
                    <w14:schemeClr w14:val="tx1"/>
                  </w14:solidFill>
                </w14:textFill>
              </w:rPr>
            </w:pPr>
          </w:p>
        </w:tc>
        <w:tc>
          <w:tcPr>
            <w:tcW w:w="1858" w:type="dxa"/>
          </w:tcPr>
          <w:p w14:paraId="798F88BC">
            <w:pPr>
              <w:pStyle w:val="95"/>
              <w:rPr>
                <w:rFonts w:hint="eastAsia"/>
                <w:color w:val="000000" w:themeColor="text1"/>
                <w14:textFill>
                  <w14:solidFill>
                    <w14:schemeClr w14:val="tx1"/>
                  </w14:solidFill>
                </w14:textFill>
              </w:rPr>
            </w:pPr>
          </w:p>
        </w:tc>
      </w:tr>
      <w:tr w14:paraId="29A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14:paraId="6A8FC67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376" w:type="dxa"/>
          </w:tcPr>
          <w:p w14:paraId="2913ACE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708" w:type="dxa"/>
          </w:tcPr>
          <w:p w14:paraId="1226DCA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58" w:type="dxa"/>
          </w:tcPr>
          <w:p w14:paraId="256C882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58" w:type="dxa"/>
          </w:tcPr>
          <w:p w14:paraId="6F309CC6">
            <w:pPr>
              <w:pStyle w:val="95"/>
              <w:rPr>
                <w:rFonts w:hint="eastAsia"/>
                <w:color w:val="000000" w:themeColor="text1"/>
                <w14:textFill>
                  <w14:solidFill>
                    <w14:schemeClr w14:val="tx1"/>
                  </w14:solidFill>
                </w14:textFill>
              </w:rPr>
            </w:pPr>
          </w:p>
        </w:tc>
      </w:tr>
    </w:tbl>
    <w:p w14:paraId="30C45AEA">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注：</w:t>
      </w:r>
    </w:p>
    <w:p w14:paraId="117293CA">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投标人应按照招标文件第三章 采购需求“四、商务要求”填写。</w:t>
      </w:r>
    </w:p>
    <w:p w14:paraId="2E41B4D2">
      <w:pPr>
        <w:rPr>
          <w:rFonts w:hint="eastAsia" w:cs="仿宋_GB2312"/>
          <w:color w:val="000000" w:themeColor="text1"/>
          <w:szCs w:val="24"/>
          <w14:textFill>
            <w14:solidFill>
              <w14:schemeClr w14:val="tx1"/>
            </w14:solidFill>
          </w14:textFill>
        </w:rPr>
      </w:pPr>
    </w:p>
    <w:p w14:paraId="05A6E8F8">
      <w:pPr>
        <w:ind w:firstLine="480" w:firstLineChars="200"/>
        <w:rPr>
          <w:rFonts w:hint="eastAsia" w:cs="仿宋_GB2312"/>
          <w:color w:val="000000" w:themeColor="text1"/>
          <w:szCs w:val="24"/>
          <w14:textFill>
            <w14:solidFill>
              <w14:schemeClr w14:val="tx1"/>
            </w14:solidFill>
          </w14:textFill>
        </w:rPr>
      </w:pPr>
    </w:p>
    <w:p w14:paraId="57221CF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投标人名称：</w:t>
      </w:r>
      <w:r>
        <w:rPr>
          <w:rFonts w:cs="仿宋_GB2312"/>
          <w:color w:val="000000" w:themeColor="text1"/>
          <w:szCs w:val="24"/>
          <w14:textFill>
            <w14:solidFill>
              <w14:schemeClr w14:val="tx1"/>
            </w14:solidFill>
          </w14:textFill>
        </w:rPr>
        <w:t xml:space="preserve"> </w:t>
      </w:r>
    </w:p>
    <w:p w14:paraId="44B60334">
      <w:pPr>
        <w:ind w:firstLine="42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日      期：</w:t>
      </w:r>
    </w:p>
    <w:p w14:paraId="1A3D1304">
      <w:pPr>
        <w:ind w:firstLine="42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br w:type="page"/>
      </w:r>
    </w:p>
    <w:p w14:paraId="753F11DF">
      <w:pPr>
        <w:pStyle w:val="6"/>
        <w:numPr>
          <w:ilvl w:val="0"/>
          <w:numId w:val="32"/>
        </w:numPr>
        <w:spacing w:before="0" w:after="0"/>
        <w:ind w:left="0"/>
        <w:rPr>
          <w:rFonts w:hint="eastAsia"/>
          <w:color w:val="000000" w:themeColor="text1"/>
          <w14:textFill>
            <w14:solidFill>
              <w14:schemeClr w14:val="tx1"/>
            </w14:solidFill>
          </w14:textFill>
        </w:rPr>
      </w:pPr>
      <w:bookmarkStart w:id="481" w:name="_Toc22013"/>
      <w:bookmarkStart w:id="482" w:name="_Toc22352"/>
      <w:r>
        <w:rPr>
          <w:rFonts w:hint="eastAsia"/>
          <w:color w:val="000000" w:themeColor="text1"/>
          <w14:textFill>
            <w14:solidFill>
              <w14:schemeClr w14:val="tx1"/>
            </w14:solidFill>
          </w14:textFill>
        </w:rPr>
        <w:t>业绩证明文件</w:t>
      </w:r>
      <w:bookmarkEnd w:id="481"/>
      <w:bookmarkEnd w:id="482"/>
    </w:p>
    <w:p w14:paraId="52CF278E">
      <w:pPr>
        <w:rPr>
          <w:rFonts w:hint="eastAsia" w:cs="仿宋_GB2312"/>
          <w:color w:val="000000" w:themeColor="text1"/>
          <w:szCs w:val="24"/>
          <w14:textFill>
            <w14:solidFill>
              <w14:schemeClr w14:val="tx1"/>
            </w14:solidFill>
          </w14:textFill>
        </w:rPr>
      </w:pPr>
      <w:r>
        <w:rPr>
          <w:rFonts w:cs="Arial"/>
          <w:bCs/>
          <w:color w:val="000000" w:themeColor="text1"/>
          <w:szCs w:val="21"/>
          <w14:textFill>
            <w14:solidFill>
              <w14:schemeClr w14:val="tx1"/>
            </w14:solidFill>
          </w14:textFill>
        </w:rPr>
        <w:fldChar w:fldCharType="begin"/>
      </w:r>
      <w:r>
        <w:rPr>
          <w:rFonts w:cs="Arial"/>
          <w:bCs/>
          <w:color w:val="000000" w:themeColor="text1"/>
          <w:szCs w:val="21"/>
          <w14:textFill>
            <w14:solidFill>
              <w14:schemeClr w14:val="tx1"/>
            </w14:solidFill>
          </w14:textFill>
        </w:rPr>
        <w:instrText xml:space="preserve"> LINK Word.Document.8 "D:\\音乐厅\\4通用设备\\招标文件\\音乐厅空调设备招标文件v1.0.doc" "OLE_LINK8" \r  \* MERGEFORMAT </w:instrText>
      </w:r>
      <w:r>
        <w:rPr>
          <w:rFonts w:cs="Arial"/>
          <w:bCs/>
          <w:color w:val="000000" w:themeColor="text1"/>
          <w:szCs w:val="21"/>
          <w14:textFill>
            <w14:solidFill>
              <w14:schemeClr w14:val="tx1"/>
            </w14:solidFill>
          </w14:textFill>
        </w:rPr>
        <w:fldChar w:fldCharType="separate"/>
      </w:r>
      <w:r>
        <w:rPr>
          <w:rFonts w:hint="eastAsia" w:cs="仿宋_GB2312"/>
          <w:color w:val="000000" w:themeColor="text1"/>
          <w:szCs w:val="24"/>
          <w14:textFill>
            <w14:solidFill>
              <w14:schemeClr w14:val="tx1"/>
            </w14:solidFill>
          </w14:textFill>
        </w:rPr>
        <w:t xml:space="preserve">项目名称：                                         </w:t>
      </w:r>
    </w:p>
    <w:p w14:paraId="75C46019">
      <w:pPr>
        <w:rPr>
          <w:rFonts w:hint="eastAsia" w:cs="Arial"/>
          <w:bCs/>
          <w:color w:val="000000" w:themeColor="text1"/>
          <w:szCs w:val="21"/>
          <w14:textFill>
            <w14:solidFill>
              <w14:schemeClr w14:val="tx1"/>
            </w14:solidFill>
          </w14:textFill>
        </w:rPr>
      </w:pPr>
      <w:r>
        <w:rPr>
          <w:rFonts w:hint="eastAsia" w:cs="仿宋_GB2312"/>
          <w:color w:val="000000" w:themeColor="text1"/>
          <w:szCs w:val="24"/>
          <w14:textFill>
            <w14:solidFill>
              <w14:schemeClr w14:val="tx1"/>
            </w14:solidFill>
          </w14:textFill>
        </w:rPr>
        <w:t xml:space="preserve">项目编号：      </w:t>
      </w:r>
      <w:r>
        <w:rPr>
          <w:rFonts w:cs="Arial"/>
          <w:bCs/>
          <w:color w:val="000000" w:themeColor="text1"/>
          <w:szCs w:val="21"/>
          <w14:textFill>
            <w14:solidFill>
              <w14:schemeClr w14:val="tx1"/>
            </w14:solidFill>
          </w14:textFill>
        </w:rPr>
        <w:fldChar w:fldCharType="end"/>
      </w:r>
    </w:p>
    <w:tbl>
      <w:tblPr>
        <w:tblStyle w:val="81"/>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90"/>
        <w:gridCol w:w="1290"/>
        <w:gridCol w:w="1290"/>
        <w:gridCol w:w="1290"/>
        <w:gridCol w:w="1291"/>
        <w:gridCol w:w="1294"/>
      </w:tblGrid>
      <w:tr w14:paraId="12ED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85EFDC7">
            <w:pPr>
              <w:jc w:val="center"/>
              <w:rPr>
                <w:rFonts w:hint="eastAsia" w:cs="仿宋_GB2312"/>
                <w:color w:val="000000" w:themeColor="text1"/>
                <w:szCs w:val="24"/>
                <w14:textFill>
                  <w14:solidFill>
                    <w14:schemeClr w14:val="tx1"/>
                  </w14:solidFill>
                </w14:textFill>
              </w:rPr>
            </w:pPr>
            <w:bookmarkStart w:id="483" w:name="_Hlk46779239"/>
            <w:r>
              <w:rPr>
                <w:rFonts w:hint="eastAsia" w:cs="仿宋_GB2312"/>
                <w:color w:val="000000" w:themeColor="text1"/>
                <w:szCs w:val="24"/>
                <w14:textFill>
                  <w14:solidFill>
                    <w14:schemeClr w14:val="tx1"/>
                  </w14:solidFill>
                </w14:textFill>
              </w:rPr>
              <w:t>序号</w:t>
            </w:r>
          </w:p>
        </w:tc>
        <w:tc>
          <w:tcPr>
            <w:tcW w:w="1290" w:type="dxa"/>
            <w:vAlign w:val="center"/>
          </w:tcPr>
          <w:p w14:paraId="6DA678AD">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完成时间</w:t>
            </w:r>
          </w:p>
        </w:tc>
        <w:tc>
          <w:tcPr>
            <w:tcW w:w="1290" w:type="dxa"/>
            <w:vAlign w:val="center"/>
          </w:tcPr>
          <w:p w14:paraId="7C5925CC">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项目名称</w:t>
            </w:r>
          </w:p>
        </w:tc>
        <w:tc>
          <w:tcPr>
            <w:tcW w:w="1290" w:type="dxa"/>
            <w:vAlign w:val="center"/>
          </w:tcPr>
          <w:p w14:paraId="446DC15A">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服务内容</w:t>
            </w:r>
          </w:p>
        </w:tc>
        <w:tc>
          <w:tcPr>
            <w:tcW w:w="1290" w:type="dxa"/>
            <w:vAlign w:val="center"/>
          </w:tcPr>
          <w:p w14:paraId="30B30108">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甲方名称</w:t>
            </w:r>
          </w:p>
        </w:tc>
        <w:tc>
          <w:tcPr>
            <w:tcW w:w="1291" w:type="dxa"/>
            <w:vAlign w:val="center"/>
          </w:tcPr>
          <w:p w14:paraId="6EB50910">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联系人</w:t>
            </w:r>
          </w:p>
        </w:tc>
        <w:tc>
          <w:tcPr>
            <w:tcW w:w="1294" w:type="dxa"/>
            <w:vAlign w:val="center"/>
          </w:tcPr>
          <w:p w14:paraId="2C9279DF">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联系电话</w:t>
            </w:r>
          </w:p>
        </w:tc>
      </w:tr>
      <w:tr w14:paraId="5FE2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1136EDD">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1</w:t>
            </w:r>
          </w:p>
        </w:tc>
        <w:tc>
          <w:tcPr>
            <w:tcW w:w="1290" w:type="dxa"/>
            <w:vAlign w:val="center"/>
          </w:tcPr>
          <w:p w14:paraId="54FD55DA">
            <w:pPr>
              <w:rPr>
                <w:rFonts w:hint="eastAsia" w:cs="仿宋_GB2312"/>
                <w:color w:val="000000" w:themeColor="text1"/>
                <w:szCs w:val="24"/>
                <w14:textFill>
                  <w14:solidFill>
                    <w14:schemeClr w14:val="tx1"/>
                  </w14:solidFill>
                </w14:textFill>
              </w:rPr>
            </w:pPr>
          </w:p>
        </w:tc>
        <w:tc>
          <w:tcPr>
            <w:tcW w:w="1290" w:type="dxa"/>
            <w:vAlign w:val="center"/>
          </w:tcPr>
          <w:p w14:paraId="3B23DAB8">
            <w:pPr>
              <w:rPr>
                <w:rFonts w:hint="eastAsia" w:cs="仿宋_GB2312"/>
                <w:color w:val="000000" w:themeColor="text1"/>
                <w:szCs w:val="24"/>
                <w14:textFill>
                  <w14:solidFill>
                    <w14:schemeClr w14:val="tx1"/>
                  </w14:solidFill>
                </w14:textFill>
              </w:rPr>
            </w:pPr>
          </w:p>
        </w:tc>
        <w:tc>
          <w:tcPr>
            <w:tcW w:w="1290" w:type="dxa"/>
            <w:vAlign w:val="center"/>
          </w:tcPr>
          <w:p w14:paraId="3079DC8F">
            <w:pPr>
              <w:rPr>
                <w:rFonts w:hint="eastAsia" w:cs="仿宋_GB2312"/>
                <w:color w:val="000000" w:themeColor="text1"/>
                <w:szCs w:val="24"/>
                <w14:textFill>
                  <w14:solidFill>
                    <w14:schemeClr w14:val="tx1"/>
                  </w14:solidFill>
                </w14:textFill>
              </w:rPr>
            </w:pPr>
          </w:p>
        </w:tc>
        <w:tc>
          <w:tcPr>
            <w:tcW w:w="1290" w:type="dxa"/>
            <w:vAlign w:val="center"/>
          </w:tcPr>
          <w:p w14:paraId="6562B696">
            <w:pPr>
              <w:rPr>
                <w:rFonts w:hint="eastAsia" w:cs="仿宋_GB2312"/>
                <w:color w:val="000000" w:themeColor="text1"/>
                <w:szCs w:val="24"/>
                <w14:textFill>
                  <w14:solidFill>
                    <w14:schemeClr w14:val="tx1"/>
                  </w14:solidFill>
                </w14:textFill>
              </w:rPr>
            </w:pPr>
          </w:p>
        </w:tc>
        <w:tc>
          <w:tcPr>
            <w:tcW w:w="1291" w:type="dxa"/>
            <w:vAlign w:val="center"/>
          </w:tcPr>
          <w:p w14:paraId="34C13756">
            <w:pPr>
              <w:rPr>
                <w:rFonts w:hint="eastAsia" w:cs="仿宋_GB2312"/>
                <w:color w:val="000000" w:themeColor="text1"/>
                <w:szCs w:val="24"/>
                <w14:textFill>
                  <w14:solidFill>
                    <w14:schemeClr w14:val="tx1"/>
                  </w14:solidFill>
                </w14:textFill>
              </w:rPr>
            </w:pPr>
          </w:p>
        </w:tc>
        <w:tc>
          <w:tcPr>
            <w:tcW w:w="1294" w:type="dxa"/>
            <w:vAlign w:val="center"/>
          </w:tcPr>
          <w:p w14:paraId="00F67E4A">
            <w:pPr>
              <w:rPr>
                <w:rFonts w:hint="eastAsia" w:cs="仿宋_GB2312"/>
                <w:color w:val="000000" w:themeColor="text1"/>
                <w:szCs w:val="24"/>
                <w14:textFill>
                  <w14:solidFill>
                    <w14:schemeClr w14:val="tx1"/>
                  </w14:solidFill>
                </w14:textFill>
              </w:rPr>
            </w:pPr>
          </w:p>
        </w:tc>
      </w:tr>
      <w:tr w14:paraId="3754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13831F9">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2</w:t>
            </w:r>
          </w:p>
        </w:tc>
        <w:tc>
          <w:tcPr>
            <w:tcW w:w="1290" w:type="dxa"/>
            <w:vAlign w:val="center"/>
          </w:tcPr>
          <w:p w14:paraId="368ED6F5">
            <w:pPr>
              <w:rPr>
                <w:rFonts w:hint="eastAsia" w:cs="仿宋_GB2312"/>
                <w:color w:val="000000" w:themeColor="text1"/>
                <w:szCs w:val="24"/>
                <w14:textFill>
                  <w14:solidFill>
                    <w14:schemeClr w14:val="tx1"/>
                  </w14:solidFill>
                </w14:textFill>
              </w:rPr>
            </w:pPr>
          </w:p>
        </w:tc>
        <w:tc>
          <w:tcPr>
            <w:tcW w:w="1290" w:type="dxa"/>
            <w:vAlign w:val="center"/>
          </w:tcPr>
          <w:p w14:paraId="07D1BC80">
            <w:pPr>
              <w:rPr>
                <w:rFonts w:hint="eastAsia" w:cs="仿宋_GB2312"/>
                <w:color w:val="000000" w:themeColor="text1"/>
                <w:szCs w:val="24"/>
                <w14:textFill>
                  <w14:solidFill>
                    <w14:schemeClr w14:val="tx1"/>
                  </w14:solidFill>
                </w14:textFill>
              </w:rPr>
            </w:pPr>
          </w:p>
        </w:tc>
        <w:tc>
          <w:tcPr>
            <w:tcW w:w="1290" w:type="dxa"/>
            <w:vAlign w:val="center"/>
          </w:tcPr>
          <w:p w14:paraId="1D4D4D5C">
            <w:pPr>
              <w:rPr>
                <w:rFonts w:hint="eastAsia" w:cs="仿宋_GB2312"/>
                <w:color w:val="000000" w:themeColor="text1"/>
                <w:szCs w:val="24"/>
                <w14:textFill>
                  <w14:solidFill>
                    <w14:schemeClr w14:val="tx1"/>
                  </w14:solidFill>
                </w14:textFill>
              </w:rPr>
            </w:pPr>
          </w:p>
        </w:tc>
        <w:tc>
          <w:tcPr>
            <w:tcW w:w="1290" w:type="dxa"/>
            <w:vAlign w:val="center"/>
          </w:tcPr>
          <w:p w14:paraId="10D94F5D">
            <w:pPr>
              <w:rPr>
                <w:rFonts w:hint="eastAsia" w:cs="仿宋_GB2312"/>
                <w:color w:val="000000" w:themeColor="text1"/>
                <w:szCs w:val="24"/>
                <w14:textFill>
                  <w14:solidFill>
                    <w14:schemeClr w14:val="tx1"/>
                  </w14:solidFill>
                </w14:textFill>
              </w:rPr>
            </w:pPr>
          </w:p>
        </w:tc>
        <w:tc>
          <w:tcPr>
            <w:tcW w:w="1291" w:type="dxa"/>
            <w:vAlign w:val="center"/>
          </w:tcPr>
          <w:p w14:paraId="3FF51206">
            <w:pPr>
              <w:rPr>
                <w:rFonts w:hint="eastAsia" w:cs="仿宋_GB2312"/>
                <w:color w:val="000000" w:themeColor="text1"/>
                <w:szCs w:val="24"/>
                <w14:textFill>
                  <w14:solidFill>
                    <w14:schemeClr w14:val="tx1"/>
                  </w14:solidFill>
                </w14:textFill>
              </w:rPr>
            </w:pPr>
          </w:p>
        </w:tc>
        <w:tc>
          <w:tcPr>
            <w:tcW w:w="1294" w:type="dxa"/>
            <w:vAlign w:val="center"/>
          </w:tcPr>
          <w:p w14:paraId="0741924B">
            <w:pPr>
              <w:rPr>
                <w:rFonts w:hint="eastAsia" w:cs="仿宋_GB2312"/>
                <w:color w:val="000000" w:themeColor="text1"/>
                <w:szCs w:val="24"/>
                <w14:textFill>
                  <w14:solidFill>
                    <w14:schemeClr w14:val="tx1"/>
                  </w14:solidFill>
                </w14:textFill>
              </w:rPr>
            </w:pPr>
          </w:p>
        </w:tc>
      </w:tr>
      <w:tr w14:paraId="752B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C1B4763">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3</w:t>
            </w:r>
          </w:p>
        </w:tc>
        <w:tc>
          <w:tcPr>
            <w:tcW w:w="1290" w:type="dxa"/>
            <w:vAlign w:val="center"/>
          </w:tcPr>
          <w:p w14:paraId="755F3C9A">
            <w:pPr>
              <w:rPr>
                <w:rFonts w:hint="eastAsia" w:cs="仿宋_GB2312"/>
                <w:color w:val="000000" w:themeColor="text1"/>
                <w:szCs w:val="24"/>
                <w14:textFill>
                  <w14:solidFill>
                    <w14:schemeClr w14:val="tx1"/>
                  </w14:solidFill>
                </w14:textFill>
              </w:rPr>
            </w:pPr>
          </w:p>
        </w:tc>
        <w:tc>
          <w:tcPr>
            <w:tcW w:w="1290" w:type="dxa"/>
            <w:vAlign w:val="center"/>
          </w:tcPr>
          <w:p w14:paraId="0D2486BF">
            <w:pPr>
              <w:rPr>
                <w:rFonts w:hint="eastAsia" w:cs="仿宋_GB2312"/>
                <w:color w:val="000000" w:themeColor="text1"/>
                <w:szCs w:val="24"/>
                <w14:textFill>
                  <w14:solidFill>
                    <w14:schemeClr w14:val="tx1"/>
                  </w14:solidFill>
                </w14:textFill>
              </w:rPr>
            </w:pPr>
          </w:p>
        </w:tc>
        <w:tc>
          <w:tcPr>
            <w:tcW w:w="1290" w:type="dxa"/>
            <w:vAlign w:val="center"/>
          </w:tcPr>
          <w:p w14:paraId="06C3E155">
            <w:pPr>
              <w:rPr>
                <w:rFonts w:hint="eastAsia" w:cs="仿宋_GB2312"/>
                <w:color w:val="000000" w:themeColor="text1"/>
                <w:szCs w:val="24"/>
                <w14:textFill>
                  <w14:solidFill>
                    <w14:schemeClr w14:val="tx1"/>
                  </w14:solidFill>
                </w14:textFill>
              </w:rPr>
            </w:pPr>
          </w:p>
        </w:tc>
        <w:tc>
          <w:tcPr>
            <w:tcW w:w="1290" w:type="dxa"/>
            <w:vAlign w:val="center"/>
          </w:tcPr>
          <w:p w14:paraId="05DFEE44">
            <w:pPr>
              <w:rPr>
                <w:rFonts w:hint="eastAsia" w:cs="仿宋_GB2312"/>
                <w:color w:val="000000" w:themeColor="text1"/>
                <w:szCs w:val="24"/>
                <w14:textFill>
                  <w14:solidFill>
                    <w14:schemeClr w14:val="tx1"/>
                  </w14:solidFill>
                </w14:textFill>
              </w:rPr>
            </w:pPr>
          </w:p>
        </w:tc>
        <w:tc>
          <w:tcPr>
            <w:tcW w:w="1291" w:type="dxa"/>
            <w:vAlign w:val="center"/>
          </w:tcPr>
          <w:p w14:paraId="495E2230">
            <w:pPr>
              <w:rPr>
                <w:rFonts w:hint="eastAsia" w:cs="仿宋_GB2312"/>
                <w:color w:val="000000" w:themeColor="text1"/>
                <w:szCs w:val="24"/>
                <w14:textFill>
                  <w14:solidFill>
                    <w14:schemeClr w14:val="tx1"/>
                  </w14:solidFill>
                </w14:textFill>
              </w:rPr>
            </w:pPr>
          </w:p>
        </w:tc>
        <w:tc>
          <w:tcPr>
            <w:tcW w:w="1294" w:type="dxa"/>
            <w:vAlign w:val="center"/>
          </w:tcPr>
          <w:p w14:paraId="54B15CDE">
            <w:pPr>
              <w:rPr>
                <w:rFonts w:hint="eastAsia" w:cs="仿宋_GB2312"/>
                <w:color w:val="000000" w:themeColor="text1"/>
                <w:szCs w:val="24"/>
                <w14:textFill>
                  <w14:solidFill>
                    <w14:schemeClr w14:val="tx1"/>
                  </w14:solidFill>
                </w14:textFill>
              </w:rPr>
            </w:pPr>
          </w:p>
        </w:tc>
      </w:tr>
      <w:tr w14:paraId="76AB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ECDB8B8">
            <w:pPr>
              <w:jc w:val="cente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w:t>
            </w:r>
          </w:p>
        </w:tc>
        <w:tc>
          <w:tcPr>
            <w:tcW w:w="1290" w:type="dxa"/>
            <w:vAlign w:val="center"/>
          </w:tcPr>
          <w:p w14:paraId="394ECB7F">
            <w:pPr>
              <w:rPr>
                <w:rFonts w:hint="eastAsia" w:cs="仿宋_GB2312"/>
                <w:color w:val="000000" w:themeColor="text1"/>
                <w:szCs w:val="24"/>
                <w14:textFill>
                  <w14:solidFill>
                    <w14:schemeClr w14:val="tx1"/>
                  </w14:solidFill>
                </w14:textFill>
              </w:rPr>
            </w:pPr>
          </w:p>
        </w:tc>
        <w:tc>
          <w:tcPr>
            <w:tcW w:w="1290" w:type="dxa"/>
            <w:vAlign w:val="center"/>
          </w:tcPr>
          <w:p w14:paraId="4800B68F">
            <w:pPr>
              <w:rPr>
                <w:rFonts w:hint="eastAsia" w:cs="仿宋_GB2312"/>
                <w:color w:val="000000" w:themeColor="text1"/>
                <w:szCs w:val="24"/>
                <w14:textFill>
                  <w14:solidFill>
                    <w14:schemeClr w14:val="tx1"/>
                  </w14:solidFill>
                </w14:textFill>
              </w:rPr>
            </w:pPr>
          </w:p>
        </w:tc>
        <w:tc>
          <w:tcPr>
            <w:tcW w:w="1290" w:type="dxa"/>
            <w:vAlign w:val="center"/>
          </w:tcPr>
          <w:p w14:paraId="7EB2B2E8">
            <w:pPr>
              <w:rPr>
                <w:rFonts w:hint="eastAsia" w:cs="仿宋_GB2312"/>
                <w:color w:val="000000" w:themeColor="text1"/>
                <w:szCs w:val="24"/>
                <w14:textFill>
                  <w14:solidFill>
                    <w14:schemeClr w14:val="tx1"/>
                  </w14:solidFill>
                </w14:textFill>
              </w:rPr>
            </w:pPr>
          </w:p>
        </w:tc>
        <w:tc>
          <w:tcPr>
            <w:tcW w:w="1290" w:type="dxa"/>
            <w:vAlign w:val="center"/>
          </w:tcPr>
          <w:p w14:paraId="5D4443DB">
            <w:pPr>
              <w:rPr>
                <w:rFonts w:hint="eastAsia" w:cs="仿宋_GB2312"/>
                <w:color w:val="000000" w:themeColor="text1"/>
                <w:szCs w:val="24"/>
                <w14:textFill>
                  <w14:solidFill>
                    <w14:schemeClr w14:val="tx1"/>
                  </w14:solidFill>
                </w14:textFill>
              </w:rPr>
            </w:pPr>
          </w:p>
        </w:tc>
        <w:tc>
          <w:tcPr>
            <w:tcW w:w="1291" w:type="dxa"/>
            <w:vAlign w:val="center"/>
          </w:tcPr>
          <w:p w14:paraId="7E7FD58D">
            <w:pPr>
              <w:rPr>
                <w:rFonts w:hint="eastAsia" w:cs="仿宋_GB2312"/>
                <w:color w:val="000000" w:themeColor="text1"/>
                <w:szCs w:val="24"/>
                <w14:textFill>
                  <w14:solidFill>
                    <w14:schemeClr w14:val="tx1"/>
                  </w14:solidFill>
                </w14:textFill>
              </w:rPr>
            </w:pPr>
          </w:p>
        </w:tc>
        <w:tc>
          <w:tcPr>
            <w:tcW w:w="1294" w:type="dxa"/>
            <w:vAlign w:val="center"/>
          </w:tcPr>
          <w:p w14:paraId="7F427F7C">
            <w:pPr>
              <w:rPr>
                <w:rFonts w:hint="eastAsia" w:cs="仿宋_GB2312"/>
                <w:color w:val="000000" w:themeColor="text1"/>
                <w:szCs w:val="24"/>
                <w14:textFill>
                  <w14:solidFill>
                    <w14:schemeClr w14:val="tx1"/>
                  </w14:solidFill>
                </w14:textFill>
              </w:rPr>
            </w:pPr>
          </w:p>
        </w:tc>
      </w:tr>
      <w:bookmarkEnd w:id="483"/>
    </w:tbl>
    <w:p w14:paraId="70B4BB1F">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注：投标人须按上表提供相应的业绩证明资料。</w:t>
      </w:r>
    </w:p>
    <w:p w14:paraId="528F5280">
      <w:pPr>
        <w:widowControl/>
        <w:rPr>
          <w:rFonts w:hint="eastAsia" w:cs="Arial"/>
          <w:color w:val="000000" w:themeColor="text1"/>
          <w:szCs w:val="21"/>
          <w14:textFill>
            <w14:solidFill>
              <w14:schemeClr w14:val="tx1"/>
            </w14:solidFill>
          </w14:textFill>
        </w:rPr>
      </w:pPr>
    </w:p>
    <w:p w14:paraId="57642DD2">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投标人名称：</w:t>
      </w:r>
      <w:r>
        <w:rPr>
          <w:rFonts w:cs="仿宋_GB2312"/>
          <w:color w:val="000000" w:themeColor="text1"/>
          <w:szCs w:val="24"/>
          <w14:textFill>
            <w14:solidFill>
              <w14:schemeClr w14:val="tx1"/>
            </w14:solidFill>
          </w14:textFill>
        </w:rPr>
        <w:t xml:space="preserve"> </w:t>
      </w:r>
    </w:p>
    <w:p w14:paraId="7CCA2672">
      <w:pPr>
        <w:ind w:firstLine="42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日      期：</w:t>
      </w:r>
    </w:p>
    <w:p w14:paraId="466A04B2">
      <w:pPr>
        <w:ind w:firstLine="42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br w:type="page"/>
      </w:r>
    </w:p>
    <w:p w14:paraId="01E44949">
      <w:pPr>
        <w:pStyle w:val="6"/>
        <w:numPr>
          <w:ilvl w:val="0"/>
          <w:numId w:val="32"/>
        </w:numPr>
        <w:spacing w:before="0" w:after="0"/>
        <w:ind w:left="0"/>
        <w:rPr>
          <w:rFonts w:hint="eastAsia"/>
          <w:color w:val="000000" w:themeColor="text1"/>
          <w14:textFill>
            <w14:solidFill>
              <w14:schemeClr w14:val="tx1"/>
            </w14:solidFill>
          </w14:textFill>
        </w:rPr>
      </w:pPr>
      <w:bookmarkStart w:id="484" w:name="_Toc25239"/>
      <w:bookmarkStart w:id="485" w:name="_Toc26291"/>
      <w:r>
        <w:rPr>
          <w:rFonts w:hint="eastAsia"/>
          <w:color w:val="000000" w:themeColor="text1"/>
          <w14:textFill>
            <w14:solidFill>
              <w14:schemeClr w14:val="tx1"/>
            </w14:solidFill>
          </w14:textFill>
        </w:rPr>
        <w:t>拟派项目团队</w:t>
      </w:r>
      <w:bookmarkEnd w:id="484"/>
      <w:bookmarkEnd w:id="485"/>
    </w:p>
    <w:tbl>
      <w:tblPr>
        <w:tblStyle w:val="81"/>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1031"/>
        <w:gridCol w:w="2018"/>
        <w:gridCol w:w="1004"/>
        <w:gridCol w:w="845"/>
        <w:gridCol w:w="1292"/>
        <w:gridCol w:w="1643"/>
      </w:tblGrid>
      <w:tr w14:paraId="54303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4910EB3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31" w:type="dxa"/>
            <w:vAlign w:val="center"/>
          </w:tcPr>
          <w:p w14:paraId="2E666A8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专家</w:t>
            </w:r>
          </w:p>
          <w:p w14:paraId="7215CAD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2018" w:type="dxa"/>
            <w:tcBorders>
              <w:right w:val="single" w:color="auto" w:sz="4" w:space="0"/>
            </w:tcBorders>
            <w:vAlign w:val="center"/>
          </w:tcPr>
          <w:p w14:paraId="6422513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工作单位</w:t>
            </w:r>
          </w:p>
        </w:tc>
        <w:tc>
          <w:tcPr>
            <w:tcW w:w="1004" w:type="dxa"/>
            <w:tcBorders>
              <w:left w:val="single" w:color="auto" w:sz="4" w:space="0"/>
            </w:tcBorders>
            <w:vAlign w:val="center"/>
          </w:tcPr>
          <w:p w14:paraId="44F2F1C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845" w:type="dxa"/>
            <w:tcBorders>
              <w:left w:val="single" w:color="auto" w:sz="4" w:space="0"/>
            </w:tcBorders>
            <w:vAlign w:val="center"/>
          </w:tcPr>
          <w:p w14:paraId="1338A31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292" w:type="dxa"/>
            <w:vAlign w:val="center"/>
          </w:tcPr>
          <w:p w14:paraId="3D0DE66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研究专长</w:t>
            </w:r>
          </w:p>
        </w:tc>
        <w:tc>
          <w:tcPr>
            <w:tcW w:w="1643" w:type="dxa"/>
            <w:vAlign w:val="center"/>
          </w:tcPr>
          <w:p w14:paraId="5087912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自有</w:t>
            </w:r>
            <w:r>
              <w:rPr>
                <w:color w:val="000000" w:themeColor="text1"/>
                <w14:textFill>
                  <w14:solidFill>
                    <w14:schemeClr w14:val="tx1"/>
                  </w14:solidFill>
                </w14:textFill>
              </w:rPr>
              <w:t>/外聘</w:t>
            </w:r>
          </w:p>
        </w:tc>
      </w:tr>
      <w:tr w14:paraId="5A6F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58173DB6">
            <w:pPr>
              <w:pStyle w:val="95"/>
              <w:rPr>
                <w:rFonts w:hint="eastAsia"/>
                <w:color w:val="000000" w:themeColor="text1"/>
                <w14:textFill>
                  <w14:solidFill>
                    <w14:schemeClr w14:val="tx1"/>
                  </w14:solidFill>
                </w14:textFill>
              </w:rPr>
            </w:pPr>
            <w:bookmarkStart w:id="486" w:name="_Toc100090784"/>
            <w:bookmarkStart w:id="487" w:name="_Toc99533292"/>
            <w:r>
              <w:rPr>
                <w:rFonts w:hint="eastAsia"/>
                <w:color w:val="000000" w:themeColor="text1"/>
                <w14:textFill>
                  <w14:solidFill>
                    <w14:schemeClr w14:val="tx1"/>
                  </w14:solidFill>
                </w14:textFill>
              </w:rPr>
              <w:t>1</w:t>
            </w:r>
            <w:bookmarkEnd w:id="486"/>
            <w:bookmarkEnd w:id="487"/>
          </w:p>
        </w:tc>
        <w:tc>
          <w:tcPr>
            <w:tcW w:w="1031" w:type="dxa"/>
            <w:vAlign w:val="center"/>
          </w:tcPr>
          <w:p w14:paraId="43FA2E7C">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4CB2D3FB">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62171F7D">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5208FD43">
            <w:pPr>
              <w:pStyle w:val="95"/>
              <w:rPr>
                <w:rFonts w:hint="eastAsia"/>
                <w:color w:val="000000" w:themeColor="text1"/>
                <w14:textFill>
                  <w14:solidFill>
                    <w14:schemeClr w14:val="tx1"/>
                  </w14:solidFill>
                </w14:textFill>
              </w:rPr>
            </w:pPr>
          </w:p>
        </w:tc>
        <w:tc>
          <w:tcPr>
            <w:tcW w:w="1292" w:type="dxa"/>
            <w:vAlign w:val="center"/>
          </w:tcPr>
          <w:p w14:paraId="6EE32DB6">
            <w:pPr>
              <w:pStyle w:val="95"/>
              <w:rPr>
                <w:rFonts w:hint="eastAsia"/>
                <w:color w:val="000000" w:themeColor="text1"/>
                <w14:textFill>
                  <w14:solidFill>
                    <w14:schemeClr w14:val="tx1"/>
                  </w14:solidFill>
                </w14:textFill>
              </w:rPr>
            </w:pPr>
          </w:p>
        </w:tc>
        <w:tc>
          <w:tcPr>
            <w:tcW w:w="1643" w:type="dxa"/>
            <w:vAlign w:val="center"/>
          </w:tcPr>
          <w:p w14:paraId="3F70EAF1">
            <w:pPr>
              <w:pStyle w:val="95"/>
              <w:rPr>
                <w:rFonts w:hint="eastAsia"/>
                <w:color w:val="000000" w:themeColor="text1"/>
                <w14:textFill>
                  <w14:solidFill>
                    <w14:schemeClr w14:val="tx1"/>
                  </w14:solidFill>
                </w14:textFill>
              </w:rPr>
            </w:pPr>
          </w:p>
        </w:tc>
      </w:tr>
      <w:tr w14:paraId="78A0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60C68500">
            <w:pPr>
              <w:pStyle w:val="95"/>
              <w:rPr>
                <w:rFonts w:hint="eastAsia"/>
                <w:color w:val="000000" w:themeColor="text1"/>
                <w14:textFill>
                  <w14:solidFill>
                    <w14:schemeClr w14:val="tx1"/>
                  </w14:solidFill>
                </w14:textFill>
              </w:rPr>
            </w:pPr>
            <w:bookmarkStart w:id="488" w:name="_Toc99533293"/>
            <w:bookmarkStart w:id="489" w:name="_Toc100090785"/>
            <w:r>
              <w:rPr>
                <w:rFonts w:hint="eastAsia"/>
                <w:color w:val="000000" w:themeColor="text1"/>
                <w14:textFill>
                  <w14:solidFill>
                    <w14:schemeClr w14:val="tx1"/>
                  </w14:solidFill>
                </w14:textFill>
              </w:rPr>
              <w:t>2</w:t>
            </w:r>
            <w:bookmarkEnd w:id="488"/>
            <w:bookmarkEnd w:id="489"/>
          </w:p>
        </w:tc>
        <w:tc>
          <w:tcPr>
            <w:tcW w:w="1031" w:type="dxa"/>
            <w:vAlign w:val="center"/>
          </w:tcPr>
          <w:p w14:paraId="7E52FF2A">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0C23B051">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632C32A3">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79F6AAF8">
            <w:pPr>
              <w:pStyle w:val="95"/>
              <w:rPr>
                <w:rFonts w:hint="eastAsia"/>
                <w:color w:val="000000" w:themeColor="text1"/>
                <w14:textFill>
                  <w14:solidFill>
                    <w14:schemeClr w14:val="tx1"/>
                  </w14:solidFill>
                </w14:textFill>
              </w:rPr>
            </w:pPr>
          </w:p>
        </w:tc>
        <w:tc>
          <w:tcPr>
            <w:tcW w:w="1292" w:type="dxa"/>
            <w:vAlign w:val="center"/>
          </w:tcPr>
          <w:p w14:paraId="69E31C49">
            <w:pPr>
              <w:pStyle w:val="95"/>
              <w:rPr>
                <w:rFonts w:hint="eastAsia"/>
                <w:color w:val="000000" w:themeColor="text1"/>
                <w14:textFill>
                  <w14:solidFill>
                    <w14:schemeClr w14:val="tx1"/>
                  </w14:solidFill>
                </w14:textFill>
              </w:rPr>
            </w:pPr>
          </w:p>
        </w:tc>
        <w:tc>
          <w:tcPr>
            <w:tcW w:w="1643" w:type="dxa"/>
            <w:vAlign w:val="center"/>
          </w:tcPr>
          <w:p w14:paraId="3AEC3857">
            <w:pPr>
              <w:pStyle w:val="95"/>
              <w:rPr>
                <w:rFonts w:hint="eastAsia"/>
                <w:color w:val="000000" w:themeColor="text1"/>
                <w14:textFill>
                  <w14:solidFill>
                    <w14:schemeClr w14:val="tx1"/>
                  </w14:solidFill>
                </w14:textFill>
              </w:rPr>
            </w:pPr>
          </w:p>
        </w:tc>
      </w:tr>
      <w:tr w14:paraId="7AE5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1DAE3659">
            <w:pPr>
              <w:pStyle w:val="95"/>
              <w:rPr>
                <w:rFonts w:hint="eastAsia"/>
                <w:color w:val="000000" w:themeColor="text1"/>
                <w14:textFill>
                  <w14:solidFill>
                    <w14:schemeClr w14:val="tx1"/>
                  </w14:solidFill>
                </w14:textFill>
              </w:rPr>
            </w:pPr>
            <w:bookmarkStart w:id="490" w:name="_Toc99533294"/>
            <w:bookmarkStart w:id="491" w:name="_Toc100090786"/>
            <w:r>
              <w:rPr>
                <w:rFonts w:hint="eastAsia"/>
                <w:color w:val="000000" w:themeColor="text1"/>
                <w14:textFill>
                  <w14:solidFill>
                    <w14:schemeClr w14:val="tx1"/>
                  </w14:solidFill>
                </w14:textFill>
              </w:rPr>
              <w:t>3</w:t>
            </w:r>
            <w:bookmarkEnd w:id="490"/>
            <w:bookmarkEnd w:id="491"/>
          </w:p>
        </w:tc>
        <w:tc>
          <w:tcPr>
            <w:tcW w:w="1031" w:type="dxa"/>
            <w:vAlign w:val="center"/>
          </w:tcPr>
          <w:p w14:paraId="3DD313A4">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7AC6C335">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16093DD9">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3D06DDFE">
            <w:pPr>
              <w:pStyle w:val="95"/>
              <w:rPr>
                <w:rFonts w:hint="eastAsia"/>
                <w:color w:val="000000" w:themeColor="text1"/>
                <w14:textFill>
                  <w14:solidFill>
                    <w14:schemeClr w14:val="tx1"/>
                  </w14:solidFill>
                </w14:textFill>
              </w:rPr>
            </w:pPr>
          </w:p>
        </w:tc>
        <w:tc>
          <w:tcPr>
            <w:tcW w:w="1292" w:type="dxa"/>
            <w:vAlign w:val="center"/>
          </w:tcPr>
          <w:p w14:paraId="6B40BDE9">
            <w:pPr>
              <w:pStyle w:val="95"/>
              <w:rPr>
                <w:rFonts w:hint="eastAsia"/>
                <w:color w:val="000000" w:themeColor="text1"/>
                <w14:textFill>
                  <w14:solidFill>
                    <w14:schemeClr w14:val="tx1"/>
                  </w14:solidFill>
                </w14:textFill>
              </w:rPr>
            </w:pPr>
          </w:p>
        </w:tc>
        <w:tc>
          <w:tcPr>
            <w:tcW w:w="1643" w:type="dxa"/>
            <w:vAlign w:val="center"/>
          </w:tcPr>
          <w:p w14:paraId="571C814D">
            <w:pPr>
              <w:pStyle w:val="95"/>
              <w:rPr>
                <w:rFonts w:hint="eastAsia"/>
                <w:color w:val="000000" w:themeColor="text1"/>
                <w14:textFill>
                  <w14:solidFill>
                    <w14:schemeClr w14:val="tx1"/>
                  </w14:solidFill>
                </w14:textFill>
              </w:rPr>
            </w:pPr>
          </w:p>
        </w:tc>
      </w:tr>
      <w:tr w14:paraId="1120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6470D900">
            <w:pPr>
              <w:pStyle w:val="95"/>
              <w:rPr>
                <w:rFonts w:hint="eastAsia"/>
                <w:color w:val="000000" w:themeColor="text1"/>
                <w14:textFill>
                  <w14:solidFill>
                    <w14:schemeClr w14:val="tx1"/>
                  </w14:solidFill>
                </w14:textFill>
              </w:rPr>
            </w:pPr>
            <w:bookmarkStart w:id="492" w:name="_Toc100090787"/>
            <w:bookmarkStart w:id="493" w:name="_Toc99533295"/>
            <w:r>
              <w:rPr>
                <w:rFonts w:hint="eastAsia"/>
                <w:color w:val="000000" w:themeColor="text1"/>
                <w14:textFill>
                  <w14:solidFill>
                    <w14:schemeClr w14:val="tx1"/>
                  </w14:solidFill>
                </w14:textFill>
              </w:rPr>
              <w:t>4</w:t>
            </w:r>
            <w:bookmarkEnd w:id="492"/>
            <w:bookmarkEnd w:id="493"/>
          </w:p>
        </w:tc>
        <w:tc>
          <w:tcPr>
            <w:tcW w:w="1031" w:type="dxa"/>
            <w:vAlign w:val="center"/>
          </w:tcPr>
          <w:p w14:paraId="492A97F0">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42ABD5C3">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66D55C7F">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442E9525">
            <w:pPr>
              <w:pStyle w:val="95"/>
              <w:rPr>
                <w:rFonts w:hint="eastAsia"/>
                <w:color w:val="000000" w:themeColor="text1"/>
                <w14:textFill>
                  <w14:solidFill>
                    <w14:schemeClr w14:val="tx1"/>
                  </w14:solidFill>
                </w14:textFill>
              </w:rPr>
            </w:pPr>
          </w:p>
        </w:tc>
        <w:tc>
          <w:tcPr>
            <w:tcW w:w="1292" w:type="dxa"/>
            <w:vAlign w:val="center"/>
          </w:tcPr>
          <w:p w14:paraId="2428AB5F">
            <w:pPr>
              <w:pStyle w:val="95"/>
              <w:rPr>
                <w:rFonts w:hint="eastAsia"/>
                <w:color w:val="000000" w:themeColor="text1"/>
                <w14:textFill>
                  <w14:solidFill>
                    <w14:schemeClr w14:val="tx1"/>
                  </w14:solidFill>
                </w14:textFill>
              </w:rPr>
            </w:pPr>
          </w:p>
        </w:tc>
        <w:tc>
          <w:tcPr>
            <w:tcW w:w="1643" w:type="dxa"/>
            <w:vAlign w:val="center"/>
          </w:tcPr>
          <w:p w14:paraId="239FDF70">
            <w:pPr>
              <w:pStyle w:val="95"/>
              <w:rPr>
                <w:rFonts w:hint="eastAsia"/>
                <w:color w:val="000000" w:themeColor="text1"/>
                <w14:textFill>
                  <w14:solidFill>
                    <w14:schemeClr w14:val="tx1"/>
                  </w14:solidFill>
                </w14:textFill>
              </w:rPr>
            </w:pPr>
          </w:p>
        </w:tc>
      </w:tr>
      <w:tr w14:paraId="42A20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7BA1DA4B">
            <w:pPr>
              <w:pStyle w:val="95"/>
              <w:rPr>
                <w:rFonts w:hint="eastAsia"/>
                <w:color w:val="000000" w:themeColor="text1"/>
                <w14:textFill>
                  <w14:solidFill>
                    <w14:schemeClr w14:val="tx1"/>
                  </w14:solidFill>
                </w14:textFill>
              </w:rPr>
            </w:pPr>
            <w:bookmarkStart w:id="494" w:name="_Toc100090788"/>
            <w:bookmarkStart w:id="495" w:name="_Toc99533296"/>
            <w:r>
              <w:rPr>
                <w:rFonts w:hint="eastAsia"/>
                <w:color w:val="000000" w:themeColor="text1"/>
                <w14:textFill>
                  <w14:solidFill>
                    <w14:schemeClr w14:val="tx1"/>
                  </w14:solidFill>
                </w14:textFill>
              </w:rPr>
              <w:t>5</w:t>
            </w:r>
            <w:bookmarkEnd w:id="494"/>
            <w:bookmarkEnd w:id="495"/>
          </w:p>
        </w:tc>
        <w:tc>
          <w:tcPr>
            <w:tcW w:w="1031" w:type="dxa"/>
            <w:vAlign w:val="center"/>
          </w:tcPr>
          <w:p w14:paraId="3FC5D2FC">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3AC66BEE">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703E771F">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6B186A05">
            <w:pPr>
              <w:pStyle w:val="95"/>
              <w:rPr>
                <w:rFonts w:hint="eastAsia"/>
                <w:color w:val="000000" w:themeColor="text1"/>
                <w14:textFill>
                  <w14:solidFill>
                    <w14:schemeClr w14:val="tx1"/>
                  </w14:solidFill>
                </w14:textFill>
              </w:rPr>
            </w:pPr>
          </w:p>
        </w:tc>
        <w:tc>
          <w:tcPr>
            <w:tcW w:w="1292" w:type="dxa"/>
            <w:vAlign w:val="center"/>
          </w:tcPr>
          <w:p w14:paraId="63FA9123">
            <w:pPr>
              <w:pStyle w:val="95"/>
              <w:rPr>
                <w:rFonts w:hint="eastAsia"/>
                <w:color w:val="000000" w:themeColor="text1"/>
                <w14:textFill>
                  <w14:solidFill>
                    <w14:schemeClr w14:val="tx1"/>
                  </w14:solidFill>
                </w14:textFill>
              </w:rPr>
            </w:pPr>
          </w:p>
        </w:tc>
        <w:tc>
          <w:tcPr>
            <w:tcW w:w="1643" w:type="dxa"/>
            <w:vAlign w:val="center"/>
          </w:tcPr>
          <w:p w14:paraId="02E4E0B3">
            <w:pPr>
              <w:pStyle w:val="95"/>
              <w:rPr>
                <w:rFonts w:hint="eastAsia"/>
                <w:color w:val="000000" w:themeColor="text1"/>
                <w14:textFill>
                  <w14:solidFill>
                    <w14:schemeClr w14:val="tx1"/>
                  </w14:solidFill>
                </w14:textFill>
              </w:rPr>
            </w:pPr>
          </w:p>
        </w:tc>
      </w:tr>
      <w:tr w14:paraId="27238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7F2B6B03">
            <w:pPr>
              <w:pStyle w:val="95"/>
              <w:rPr>
                <w:rFonts w:hint="eastAsia"/>
                <w:color w:val="000000" w:themeColor="text1"/>
                <w14:textFill>
                  <w14:solidFill>
                    <w14:schemeClr w14:val="tx1"/>
                  </w14:solidFill>
                </w14:textFill>
              </w:rPr>
            </w:pPr>
            <w:bookmarkStart w:id="496" w:name="_Toc100090789"/>
            <w:bookmarkStart w:id="497" w:name="_Toc99533297"/>
            <w:r>
              <w:rPr>
                <w:rFonts w:hint="eastAsia"/>
                <w:color w:val="000000" w:themeColor="text1"/>
                <w14:textFill>
                  <w14:solidFill>
                    <w14:schemeClr w14:val="tx1"/>
                  </w14:solidFill>
                </w14:textFill>
              </w:rPr>
              <w:t>6</w:t>
            </w:r>
            <w:bookmarkEnd w:id="496"/>
            <w:bookmarkEnd w:id="497"/>
          </w:p>
        </w:tc>
        <w:tc>
          <w:tcPr>
            <w:tcW w:w="1031" w:type="dxa"/>
            <w:vAlign w:val="center"/>
          </w:tcPr>
          <w:p w14:paraId="6CF3E34A">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207DC8D6">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4DF4A7BD">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5712FCFE">
            <w:pPr>
              <w:pStyle w:val="95"/>
              <w:rPr>
                <w:rFonts w:hint="eastAsia"/>
                <w:color w:val="000000" w:themeColor="text1"/>
                <w14:textFill>
                  <w14:solidFill>
                    <w14:schemeClr w14:val="tx1"/>
                  </w14:solidFill>
                </w14:textFill>
              </w:rPr>
            </w:pPr>
          </w:p>
        </w:tc>
        <w:tc>
          <w:tcPr>
            <w:tcW w:w="1292" w:type="dxa"/>
            <w:vAlign w:val="center"/>
          </w:tcPr>
          <w:p w14:paraId="4D81EF14">
            <w:pPr>
              <w:pStyle w:val="95"/>
              <w:rPr>
                <w:rFonts w:hint="eastAsia"/>
                <w:color w:val="000000" w:themeColor="text1"/>
                <w14:textFill>
                  <w14:solidFill>
                    <w14:schemeClr w14:val="tx1"/>
                  </w14:solidFill>
                </w14:textFill>
              </w:rPr>
            </w:pPr>
          </w:p>
        </w:tc>
        <w:tc>
          <w:tcPr>
            <w:tcW w:w="1643" w:type="dxa"/>
            <w:vAlign w:val="center"/>
          </w:tcPr>
          <w:p w14:paraId="4F23339D">
            <w:pPr>
              <w:pStyle w:val="95"/>
              <w:rPr>
                <w:rFonts w:hint="eastAsia"/>
                <w:color w:val="000000" w:themeColor="text1"/>
                <w14:textFill>
                  <w14:solidFill>
                    <w14:schemeClr w14:val="tx1"/>
                  </w14:solidFill>
                </w14:textFill>
              </w:rPr>
            </w:pPr>
          </w:p>
        </w:tc>
      </w:tr>
      <w:tr w14:paraId="47CB7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330F4B79">
            <w:pPr>
              <w:pStyle w:val="95"/>
              <w:rPr>
                <w:rFonts w:hint="eastAsia"/>
                <w:color w:val="000000" w:themeColor="text1"/>
                <w14:textFill>
                  <w14:solidFill>
                    <w14:schemeClr w14:val="tx1"/>
                  </w14:solidFill>
                </w14:textFill>
              </w:rPr>
            </w:pPr>
            <w:bookmarkStart w:id="498" w:name="_Toc99533298"/>
            <w:bookmarkStart w:id="499" w:name="_Toc100090790"/>
            <w:r>
              <w:rPr>
                <w:rFonts w:hint="eastAsia"/>
                <w:color w:val="000000" w:themeColor="text1"/>
                <w14:textFill>
                  <w14:solidFill>
                    <w14:schemeClr w14:val="tx1"/>
                  </w14:solidFill>
                </w14:textFill>
              </w:rPr>
              <w:t>7</w:t>
            </w:r>
            <w:bookmarkEnd w:id="498"/>
            <w:bookmarkEnd w:id="499"/>
          </w:p>
        </w:tc>
        <w:tc>
          <w:tcPr>
            <w:tcW w:w="1031" w:type="dxa"/>
            <w:vAlign w:val="center"/>
          </w:tcPr>
          <w:p w14:paraId="162337E6">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28F20DDD">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70C0F613">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581FF33D">
            <w:pPr>
              <w:pStyle w:val="95"/>
              <w:rPr>
                <w:rFonts w:hint="eastAsia"/>
                <w:color w:val="000000" w:themeColor="text1"/>
                <w14:textFill>
                  <w14:solidFill>
                    <w14:schemeClr w14:val="tx1"/>
                  </w14:solidFill>
                </w14:textFill>
              </w:rPr>
            </w:pPr>
          </w:p>
        </w:tc>
        <w:tc>
          <w:tcPr>
            <w:tcW w:w="1292" w:type="dxa"/>
            <w:vAlign w:val="center"/>
          </w:tcPr>
          <w:p w14:paraId="5439E455">
            <w:pPr>
              <w:pStyle w:val="95"/>
              <w:rPr>
                <w:rFonts w:hint="eastAsia"/>
                <w:color w:val="000000" w:themeColor="text1"/>
                <w14:textFill>
                  <w14:solidFill>
                    <w14:schemeClr w14:val="tx1"/>
                  </w14:solidFill>
                </w14:textFill>
              </w:rPr>
            </w:pPr>
          </w:p>
        </w:tc>
        <w:tc>
          <w:tcPr>
            <w:tcW w:w="1643" w:type="dxa"/>
            <w:vAlign w:val="center"/>
          </w:tcPr>
          <w:p w14:paraId="0968C3CD">
            <w:pPr>
              <w:pStyle w:val="95"/>
              <w:rPr>
                <w:rFonts w:hint="eastAsia"/>
                <w:color w:val="000000" w:themeColor="text1"/>
                <w14:textFill>
                  <w14:solidFill>
                    <w14:schemeClr w14:val="tx1"/>
                  </w14:solidFill>
                </w14:textFill>
              </w:rPr>
            </w:pPr>
          </w:p>
        </w:tc>
      </w:tr>
      <w:tr w14:paraId="3E6BB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078B1FEC">
            <w:pPr>
              <w:pStyle w:val="95"/>
              <w:rPr>
                <w:rFonts w:hint="eastAsia"/>
                <w:color w:val="000000" w:themeColor="text1"/>
                <w14:textFill>
                  <w14:solidFill>
                    <w14:schemeClr w14:val="tx1"/>
                  </w14:solidFill>
                </w14:textFill>
              </w:rPr>
            </w:pPr>
            <w:bookmarkStart w:id="500" w:name="_Toc99533299"/>
            <w:bookmarkStart w:id="501" w:name="_Toc100090791"/>
            <w:r>
              <w:rPr>
                <w:rFonts w:hint="eastAsia"/>
                <w:color w:val="000000" w:themeColor="text1"/>
                <w14:textFill>
                  <w14:solidFill>
                    <w14:schemeClr w14:val="tx1"/>
                  </w14:solidFill>
                </w14:textFill>
              </w:rPr>
              <w:t>8</w:t>
            </w:r>
            <w:bookmarkEnd w:id="500"/>
            <w:bookmarkEnd w:id="501"/>
          </w:p>
        </w:tc>
        <w:tc>
          <w:tcPr>
            <w:tcW w:w="1031" w:type="dxa"/>
            <w:vAlign w:val="center"/>
          </w:tcPr>
          <w:p w14:paraId="6B990EB3">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7742A70D">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4D1E44E7">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1006AF97">
            <w:pPr>
              <w:pStyle w:val="95"/>
              <w:rPr>
                <w:rFonts w:hint="eastAsia"/>
                <w:color w:val="000000" w:themeColor="text1"/>
                <w14:textFill>
                  <w14:solidFill>
                    <w14:schemeClr w14:val="tx1"/>
                  </w14:solidFill>
                </w14:textFill>
              </w:rPr>
            </w:pPr>
          </w:p>
        </w:tc>
        <w:tc>
          <w:tcPr>
            <w:tcW w:w="1292" w:type="dxa"/>
            <w:vAlign w:val="center"/>
          </w:tcPr>
          <w:p w14:paraId="4B0D532D">
            <w:pPr>
              <w:pStyle w:val="95"/>
              <w:rPr>
                <w:rFonts w:hint="eastAsia"/>
                <w:color w:val="000000" w:themeColor="text1"/>
                <w14:textFill>
                  <w14:solidFill>
                    <w14:schemeClr w14:val="tx1"/>
                  </w14:solidFill>
                </w14:textFill>
              </w:rPr>
            </w:pPr>
          </w:p>
        </w:tc>
        <w:tc>
          <w:tcPr>
            <w:tcW w:w="1643" w:type="dxa"/>
            <w:vAlign w:val="center"/>
          </w:tcPr>
          <w:p w14:paraId="33D388BA">
            <w:pPr>
              <w:pStyle w:val="95"/>
              <w:rPr>
                <w:rFonts w:hint="eastAsia"/>
                <w:color w:val="000000" w:themeColor="text1"/>
                <w14:textFill>
                  <w14:solidFill>
                    <w14:schemeClr w14:val="tx1"/>
                  </w14:solidFill>
                </w14:textFill>
              </w:rPr>
            </w:pPr>
          </w:p>
        </w:tc>
      </w:tr>
      <w:tr w14:paraId="5037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5D98DB74">
            <w:pPr>
              <w:pStyle w:val="95"/>
              <w:rPr>
                <w:rFonts w:hint="eastAsia"/>
                <w:color w:val="000000" w:themeColor="text1"/>
                <w14:textFill>
                  <w14:solidFill>
                    <w14:schemeClr w14:val="tx1"/>
                  </w14:solidFill>
                </w14:textFill>
              </w:rPr>
            </w:pPr>
            <w:bookmarkStart w:id="502" w:name="_Toc99533300"/>
            <w:bookmarkStart w:id="503" w:name="_Toc100090792"/>
            <w:r>
              <w:rPr>
                <w:rFonts w:hint="eastAsia"/>
                <w:color w:val="000000" w:themeColor="text1"/>
                <w14:textFill>
                  <w14:solidFill>
                    <w14:schemeClr w14:val="tx1"/>
                  </w14:solidFill>
                </w14:textFill>
              </w:rPr>
              <w:t>9</w:t>
            </w:r>
            <w:bookmarkEnd w:id="502"/>
            <w:bookmarkEnd w:id="503"/>
          </w:p>
        </w:tc>
        <w:tc>
          <w:tcPr>
            <w:tcW w:w="1031" w:type="dxa"/>
            <w:vAlign w:val="center"/>
          </w:tcPr>
          <w:p w14:paraId="4C21B574">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095C2EA3">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2961383C">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30DAE92F">
            <w:pPr>
              <w:pStyle w:val="95"/>
              <w:rPr>
                <w:rFonts w:hint="eastAsia"/>
                <w:color w:val="000000" w:themeColor="text1"/>
                <w14:textFill>
                  <w14:solidFill>
                    <w14:schemeClr w14:val="tx1"/>
                  </w14:solidFill>
                </w14:textFill>
              </w:rPr>
            </w:pPr>
          </w:p>
        </w:tc>
        <w:tc>
          <w:tcPr>
            <w:tcW w:w="1292" w:type="dxa"/>
            <w:vAlign w:val="center"/>
          </w:tcPr>
          <w:p w14:paraId="2FCEAF99">
            <w:pPr>
              <w:pStyle w:val="95"/>
              <w:rPr>
                <w:rFonts w:hint="eastAsia"/>
                <w:color w:val="000000" w:themeColor="text1"/>
                <w14:textFill>
                  <w14:solidFill>
                    <w14:schemeClr w14:val="tx1"/>
                  </w14:solidFill>
                </w14:textFill>
              </w:rPr>
            </w:pPr>
          </w:p>
        </w:tc>
        <w:tc>
          <w:tcPr>
            <w:tcW w:w="1643" w:type="dxa"/>
            <w:vAlign w:val="center"/>
          </w:tcPr>
          <w:p w14:paraId="3AB32108">
            <w:pPr>
              <w:pStyle w:val="95"/>
              <w:rPr>
                <w:rFonts w:hint="eastAsia"/>
                <w:color w:val="000000" w:themeColor="text1"/>
                <w14:textFill>
                  <w14:solidFill>
                    <w14:schemeClr w14:val="tx1"/>
                  </w14:solidFill>
                </w14:textFill>
              </w:rPr>
            </w:pPr>
          </w:p>
        </w:tc>
      </w:tr>
      <w:tr w14:paraId="3E208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0" w:type="dxa"/>
            <w:vAlign w:val="center"/>
          </w:tcPr>
          <w:p w14:paraId="42884DFA">
            <w:pPr>
              <w:pStyle w:val="95"/>
              <w:rPr>
                <w:rFonts w:hint="eastAsia"/>
                <w:color w:val="000000" w:themeColor="text1"/>
                <w14:textFill>
                  <w14:solidFill>
                    <w14:schemeClr w14:val="tx1"/>
                  </w14:solidFill>
                </w14:textFill>
              </w:rPr>
            </w:pPr>
            <w:bookmarkStart w:id="504" w:name="_Toc100090793"/>
            <w:bookmarkStart w:id="505" w:name="_Toc99533301"/>
            <w:r>
              <w:rPr>
                <w:rFonts w:hint="eastAsia"/>
                <w:color w:val="000000" w:themeColor="text1"/>
                <w14:textFill>
                  <w14:solidFill>
                    <w14:schemeClr w14:val="tx1"/>
                  </w14:solidFill>
                </w14:textFill>
              </w:rPr>
              <w:t>10</w:t>
            </w:r>
            <w:bookmarkEnd w:id="504"/>
            <w:bookmarkEnd w:id="505"/>
          </w:p>
        </w:tc>
        <w:tc>
          <w:tcPr>
            <w:tcW w:w="1031" w:type="dxa"/>
            <w:vAlign w:val="center"/>
          </w:tcPr>
          <w:p w14:paraId="13F55C18">
            <w:pPr>
              <w:pStyle w:val="95"/>
              <w:rPr>
                <w:rFonts w:hint="eastAsia"/>
                <w:color w:val="000000" w:themeColor="text1"/>
                <w14:textFill>
                  <w14:solidFill>
                    <w14:schemeClr w14:val="tx1"/>
                  </w14:solidFill>
                </w14:textFill>
              </w:rPr>
            </w:pPr>
          </w:p>
        </w:tc>
        <w:tc>
          <w:tcPr>
            <w:tcW w:w="2018" w:type="dxa"/>
            <w:tcBorders>
              <w:right w:val="single" w:color="auto" w:sz="4" w:space="0"/>
            </w:tcBorders>
            <w:vAlign w:val="center"/>
          </w:tcPr>
          <w:p w14:paraId="23D80BA5">
            <w:pPr>
              <w:pStyle w:val="95"/>
              <w:rPr>
                <w:rFonts w:hint="eastAsia"/>
                <w:color w:val="000000" w:themeColor="text1"/>
                <w14:textFill>
                  <w14:solidFill>
                    <w14:schemeClr w14:val="tx1"/>
                  </w14:solidFill>
                </w14:textFill>
              </w:rPr>
            </w:pPr>
          </w:p>
        </w:tc>
        <w:tc>
          <w:tcPr>
            <w:tcW w:w="1004" w:type="dxa"/>
            <w:tcBorders>
              <w:left w:val="single" w:color="auto" w:sz="4" w:space="0"/>
            </w:tcBorders>
            <w:vAlign w:val="center"/>
          </w:tcPr>
          <w:p w14:paraId="0CADF0A5">
            <w:pPr>
              <w:pStyle w:val="95"/>
              <w:rPr>
                <w:rFonts w:hint="eastAsia"/>
                <w:color w:val="000000" w:themeColor="text1"/>
                <w14:textFill>
                  <w14:solidFill>
                    <w14:schemeClr w14:val="tx1"/>
                  </w14:solidFill>
                </w14:textFill>
              </w:rPr>
            </w:pPr>
          </w:p>
        </w:tc>
        <w:tc>
          <w:tcPr>
            <w:tcW w:w="845" w:type="dxa"/>
            <w:tcBorders>
              <w:left w:val="single" w:color="auto" w:sz="4" w:space="0"/>
            </w:tcBorders>
            <w:vAlign w:val="center"/>
          </w:tcPr>
          <w:p w14:paraId="51825253">
            <w:pPr>
              <w:pStyle w:val="95"/>
              <w:rPr>
                <w:rFonts w:hint="eastAsia"/>
                <w:color w:val="000000" w:themeColor="text1"/>
                <w14:textFill>
                  <w14:solidFill>
                    <w14:schemeClr w14:val="tx1"/>
                  </w14:solidFill>
                </w14:textFill>
              </w:rPr>
            </w:pPr>
          </w:p>
        </w:tc>
        <w:tc>
          <w:tcPr>
            <w:tcW w:w="1292" w:type="dxa"/>
            <w:vAlign w:val="center"/>
          </w:tcPr>
          <w:p w14:paraId="2CF1535A">
            <w:pPr>
              <w:pStyle w:val="95"/>
              <w:rPr>
                <w:rFonts w:hint="eastAsia"/>
                <w:color w:val="000000" w:themeColor="text1"/>
                <w14:textFill>
                  <w14:solidFill>
                    <w14:schemeClr w14:val="tx1"/>
                  </w14:solidFill>
                </w14:textFill>
              </w:rPr>
            </w:pPr>
          </w:p>
        </w:tc>
        <w:tc>
          <w:tcPr>
            <w:tcW w:w="1643" w:type="dxa"/>
            <w:vAlign w:val="center"/>
          </w:tcPr>
          <w:p w14:paraId="2188DFBD">
            <w:pPr>
              <w:pStyle w:val="95"/>
              <w:rPr>
                <w:rFonts w:hint="eastAsia"/>
                <w:color w:val="000000" w:themeColor="text1"/>
                <w14:textFill>
                  <w14:solidFill>
                    <w14:schemeClr w14:val="tx1"/>
                  </w14:solidFill>
                </w14:textFill>
              </w:rPr>
            </w:pPr>
          </w:p>
        </w:tc>
      </w:tr>
    </w:tbl>
    <w:p w14:paraId="5064B924">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8C05199">
      <w:pPr>
        <w:pStyle w:val="6"/>
        <w:numPr>
          <w:ilvl w:val="0"/>
          <w:numId w:val="32"/>
        </w:numPr>
        <w:spacing w:before="0" w:after="0"/>
        <w:ind w:left="0"/>
        <w:rPr>
          <w:rFonts w:hint="eastAsia"/>
          <w:color w:val="000000" w:themeColor="text1"/>
          <w14:textFill>
            <w14:solidFill>
              <w14:schemeClr w14:val="tx1"/>
            </w14:solidFill>
          </w14:textFill>
        </w:rPr>
      </w:pPr>
      <w:bookmarkStart w:id="506" w:name="_Toc7001"/>
      <w:bookmarkStart w:id="507" w:name="_Toc1428"/>
      <w:r>
        <w:rPr>
          <w:rFonts w:hint="eastAsia"/>
          <w:color w:val="000000" w:themeColor="text1"/>
          <w14:textFill>
            <w14:solidFill>
              <w14:schemeClr w14:val="tx1"/>
            </w14:solidFill>
          </w14:textFill>
        </w:rPr>
        <w:t>其他商务文件</w:t>
      </w:r>
      <w:bookmarkEnd w:id="506"/>
      <w:bookmarkEnd w:id="507"/>
    </w:p>
    <w:p w14:paraId="528C10A5">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招标文件要求提供的其它商务资料和证明材料；</w:t>
      </w:r>
    </w:p>
    <w:p w14:paraId="7AFA545C">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投标人认为需要提供的其它商务资料和说明。</w:t>
      </w:r>
      <w:r>
        <w:rPr>
          <w:color w:val="000000" w:themeColor="text1"/>
          <w14:textFill>
            <w14:solidFill>
              <w14:schemeClr w14:val="tx1"/>
            </w14:solidFill>
          </w14:textFill>
        </w:rPr>
        <w:br w:type="page"/>
      </w:r>
    </w:p>
    <w:p w14:paraId="2BD2ED02">
      <w:pPr>
        <w:pStyle w:val="5"/>
        <w:numPr>
          <w:ilvl w:val="0"/>
          <w:numId w:val="31"/>
        </w:numPr>
        <w:spacing w:before="0" w:after="0"/>
        <w:ind w:left="0"/>
        <w:rPr>
          <w:rFonts w:hint="eastAsia"/>
          <w:color w:val="000000" w:themeColor="text1"/>
          <w14:textFill>
            <w14:solidFill>
              <w14:schemeClr w14:val="tx1"/>
            </w14:solidFill>
          </w14:textFill>
        </w:rPr>
      </w:pPr>
      <w:bookmarkStart w:id="508" w:name="_Toc27078"/>
      <w:bookmarkStart w:id="509" w:name="_Toc30868"/>
      <w:bookmarkStart w:id="510" w:name="_Toc155185935"/>
      <w:r>
        <w:rPr>
          <w:rFonts w:hint="eastAsia"/>
          <w:color w:val="000000" w:themeColor="text1"/>
          <w14:textFill>
            <w14:solidFill>
              <w14:schemeClr w14:val="tx1"/>
            </w14:solidFill>
          </w14:textFill>
        </w:rPr>
        <w:t>技术部分</w:t>
      </w:r>
      <w:bookmarkEnd w:id="508"/>
      <w:bookmarkEnd w:id="509"/>
      <w:bookmarkEnd w:id="510"/>
    </w:p>
    <w:p w14:paraId="3C82555D">
      <w:pPr>
        <w:pStyle w:val="6"/>
        <w:numPr>
          <w:ilvl w:val="0"/>
          <w:numId w:val="33"/>
        </w:numPr>
        <w:spacing w:before="0" w:after="0"/>
        <w:ind w:left="0"/>
        <w:rPr>
          <w:rFonts w:hint="eastAsia"/>
          <w:color w:val="000000" w:themeColor="text1"/>
          <w14:textFill>
            <w14:solidFill>
              <w14:schemeClr w14:val="tx1"/>
            </w14:solidFill>
          </w14:textFill>
        </w:rPr>
      </w:pPr>
      <w:bookmarkStart w:id="511" w:name="_Toc3556"/>
      <w:bookmarkStart w:id="512" w:name="_Toc8397"/>
      <w:r>
        <w:rPr>
          <w:rFonts w:hint="eastAsia"/>
          <w:color w:val="000000" w:themeColor="text1"/>
          <w14:textFill>
            <w14:solidFill>
              <w14:schemeClr w14:val="tx1"/>
            </w14:solidFill>
          </w14:textFill>
        </w:rPr>
        <w:t>技术响应偏离表</w:t>
      </w:r>
      <w:bookmarkEnd w:id="511"/>
      <w:bookmarkEnd w:id="512"/>
    </w:p>
    <w:p w14:paraId="0341707E">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项目名称：                                         </w:t>
      </w:r>
    </w:p>
    <w:p w14:paraId="74CE64FB">
      <w:pPr>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 xml:space="preserve">项目编号：         </w:t>
      </w:r>
    </w:p>
    <w:tbl>
      <w:tblPr>
        <w:tblStyle w:val="8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76"/>
        <w:gridCol w:w="1757"/>
        <w:gridCol w:w="2045"/>
        <w:gridCol w:w="2045"/>
      </w:tblGrid>
      <w:tr w14:paraId="4BC7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96" w:type="dxa"/>
            <w:vAlign w:val="center"/>
          </w:tcPr>
          <w:p w14:paraId="4C613C9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976" w:type="dxa"/>
            <w:vAlign w:val="center"/>
          </w:tcPr>
          <w:p w14:paraId="35F5428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招标文件技术、服务要求条款</w:t>
            </w:r>
          </w:p>
        </w:tc>
        <w:tc>
          <w:tcPr>
            <w:tcW w:w="1757" w:type="dxa"/>
            <w:vAlign w:val="center"/>
          </w:tcPr>
          <w:p w14:paraId="3387CAA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投标文件内容</w:t>
            </w:r>
          </w:p>
          <w:p w14:paraId="4F1E6C4B">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对应简述</w:t>
            </w:r>
          </w:p>
        </w:tc>
        <w:tc>
          <w:tcPr>
            <w:tcW w:w="2045" w:type="dxa"/>
            <w:vAlign w:val="center"/>
          </w:tcPr>
          <w:p w14:paraId="29C57C6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响应情况</w:t>
            </w:r>
          </w:p>
        </w:tc>
        <w:tc>
          <w:tcPr>
            <w:tcW w:w="2045" w:type="dxa"/>
            <w:vAlign w:val="center"/>
          </w:tcPr>
          <w:p w14:paraId="7798942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说明及索引</w:t>
            </w:r>
          </w:p>
        </w:tc>
      </w:tr>
      <w:tr w14:paraId="255E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vAlign w:val="center"/>
          </w:tcPr>
          <w:p w14:paraId="541C831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976" w:type="dxa"/>
            <w:vAlign w:val="center"/>
          </w:tcPr>
          <w:p w14:paraId="343D5B1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757" w:type="dxa"/>
            <w:vAlign w:val="center"/>
          </w:tcPr>
          <w:p w14:paraId="3B5E83E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2045" w:type="dxa"/>
            <w:vAlign w:val="center"/>
          </w:tcPr>
          <w:p w14:paraId="1774558E">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响应/正偏离/负偏离</w:t>
            </w:r>
          </w:p>
        </w:tc>
        <w:tc>
          <w:tcPr>
            <w:tcW w:w="2045" w:type="dxa"/>
            <w:vAlign w:val="center"/>
          </w:tcPr>
          <w:p w14:paraId="47AAA4DE">
            <w:pPr>
              <w:pStyle w:val="95"/>
              <w:rPr>
                <w:rFonts w:hint="eastAsia"/>
                <w:color w:val="000000" w:themeColor="text1"/>
                <w14:textFill>
                  <w14:solidFill>
                    <w14:schemeClr w14:val="tx1"/>
                  </w14:solidFill>
                </w14:textFill>
              </w:rPr>
            </w:pPr>
          </w:p>
        </w:tc>
      </w:tr>
      <w:tr w14:paraId="589C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vAlign w:val="center"/>
          </w:tcPr>
          <w:p w14:paraId="238F554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976" w:type="dxa"/>
            <w:vAlign w:val="center"/>
          </w:tcPr>
          <w:p w14:paraId="32704AE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1757" w:type="dxa"/>
            <w:vAlign w:val="center"/>
          </w:tcPr>
          <w:p w14:paraId="4B57FCC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tc>
        <w:tc>
          <w:tcPr>
            <w:tcW w:w="2045" w:type="dxa"/>
            <w:vAlign w:val="center"/>
          </w:tcPr>
          <w:p w14:paraId="0F2AA334">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响应/正偏离/负偏离</w:t>
            </w:r>
          </w:p>
        </w:tc>
        <w:tc>
          <w:tcPr>
            <w:tcW w:w="2045" w:type="dxa"/>
            <w:vAlign w:val="center"/>
          </w:tcPr>
          <w:p w14:paraId="1B6F4CCC">
            <w:pPr>
              <w:pStyle w:val="95"/>
              <w:rPr>
                <w:rFonts w:hint="eastAsia"/>
                <w:color w:val="000000" w:themeColor="text1"/>
                <w14:textFill>
                  <w14:solidFill>
                    <w14:schemeClr w14:val="tx1"/>
                  </w14:solidFill>
                </w14:textFill>
              </w:rPr>
            </w:pPr>
          </w:p>
        </w:tc>
      </w:tr>
      <w:tr w14:paraId="593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62822191">
            <w:pPr>
              <w:pStyle w:val="95"/>
              <w:rPr>
                <w:rFonts w:hint="eastAsia"/>
                <w:color w:val="000000" w:themeColor="text1"/>
                <w14:textFill>
                  <w14:solidFill>
                    <w14:schemeClr w14:val="tx1"/>
                  </w14:solidFill>
                </w14:textFill>
              </w:rPr>
            </w:pPr>
          </w:p>
        </w:tc>
        <w:tc>
          <w:tcPr>
            <w:tcW w:w="1976" w:type="dxa"/>
          </w:tcPr>
          <w:p w14:paraId="52D04778">
            <w:pPr>
              <w:pStyle w:val="95"/>
              <w:rPr>
                <w:rFonts w:hint="eastAsia"/>
                <w:color w:val="000000" w:themeColor="text1"/>
                <w14:textFill>
                  <w14:solidFill>
                    <w14:schemeClr w14:val="tx1"/>
                  </w14:solidFill>
                </w14:textFill>
              </w:rPr>
            </w:pPr>
          </w:p>
        </w:tc>
        <w:tc>
          <w:tcPr>
            <w:tcW w:w="1757" w:type="dxa"/>
          </w:tcPr>
          <w:p w14:paraId="23DD79DD">
            <w:pPr>
              <w:pStyle w:val="95"/>
              <w:rPr>
                <w:rFonts w:hint="eastAsia"/>
                <w:color w:val="000000" w:themeColor="text1"/>
                <w14:textFill>
                  <w14:solidFill>
                    <w14:schemeClr w14:val="tx1"/>
                  </w14:solidFill>
                </w14:textFill>
              </w:rPr>
            </w:pPr>
          </w:p>
        </w:tc>
        <w:tc>
          <w:tcPr>
            <w:tcW w:w="2045" w:type="dxa"/>
          </w:tcPr>
          <w:p w14:paraId="2A101B32">
            <w:pPr>
              <w:pStyle w:val="95"/>
              <w:rPr>
                <w:rFonts w:hint="eastAsia"/>
                <w:color w:val="000000" w:themeColor="text1"/>
                <w14:textFill>
                  <w14:solidFill>
                    <w14:schemeClr w14:val="tx1"/>
                  </w14:solidFill>
                </w14:textFill>
              </w:rPr>
            </w:pPr>
          </w:p>
        </w:tc>
        <w:tc>
          <w:tcPr>
            <w:tcW w:w="2045" w:type="dxa"/>
          </w:tcPr>
          <w:p w14:paraId="66383F4D">
            <w:pPr>
              <w:pStyle w:val="95"/>
              <w:rPr>
                <w:rFonts w:hint="eastAsia"/>
                <w:color w:val="000000" w:themeColor="text1"/>
                <w14:textFill>
                  <w14:solidFill>
                    <w14:schemeClr w14:val="tx1"/>
                  </w14:solidFill>
                </w14:textFill>
              </w:rPr>
            </w:pPr>
          </w:p>
        </w:tc>
      </w:tr>
      <w:tr w14:paraId="5748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21C77655">
            <w:pPr>
              <w:pStyle w:val="95"/>
              <w:rPr>
                <w:rFonts w:hint="eastAsia"/>
                <w:color w:val="000000" w:themeColor="text1"/>
                <w14:textFill>
                  <w14:solidFill>
                    <w14:schemeClr w14:val="tx1"/>
                  </w14:solidFill>
                </w14:textFill>
              </w:rPr>
            </w:pPr>
          </w:p>
        </w:tc>
        <w:tc>
          <w:tcPr>
            <w:tcW w:w="1976" w:type="dxa"/>
          </w:tcPr>
          <w:p w14:paraId="5B94D15F">
            <w:pPr>
              <w:pStyle w:val="95"/>
              <w:rPr>
                <w:rFonts w:hint="eastAsia"/>
                <w:color w:val="000000" w:themeColor="text1"/>
                <w14:textFill>
                  <w14:solidFill>
                    <w14:schemeClr w14:val="tx1"/>
                  </w14:solidFill>
                </w14:textFill>
              </w:rPr>
            </w:pPr>
          </w:p>
        </w:tc>
        <w:tc>
          <w:tcPr>
            <w:tcW w:w="1757" w:type="dxa"/>
          </w:tcPr>
          <w:p w14:paraId="2FB4B891">
            <w:pPr>
              <w:pStyle w:val="95"/>
              <w:rPr>
                <w:rFonts w:hint="eastAsia"/>
                <w:color w:val="000000" w:themeColor="text1"/>
                <w14:textFill>
                  <w14:solidFill>
                    <w14:schemeClr w14:val="tx1"/>
                  </w14:solidFill>
                </w14:textFill>
              </w:rPr>
            </w:pPr>
          </w:p>
        </w:tc>
        <w:tc>
          <w:tcPr>
            <w:tcW w:w="2045" w:type="dxa"/>
          </w:tcPr>
          <w:p w14:paraId="4463016E">
            <w:pPr>
              <w:pStyle w:val="95"/>
              <w:rPr>
                <w:rFonts w:hint="eastAsia"/>
                <w:color w:val="000000" w:themeColor="text1"/>
                <w14:textFill>
                  <w14:solidFill>
                    <w14:schemeClr w14:val="tx1"/>
                  </w14:solidFill>
                </w14:textFill>
              </w:rPr>
            </w:pPr>
          </w:p>
        </w:tc>
        <w:tc>
          <w:tcPr>
            <w:tcW w:w="2045" w:type="dxa"/>
          </w:tcPr>
          <w:p w14:paraId="3455F4A4">
            <w:pPr>
              <w:pStyle w:val="95"/>
              <w:rPr>
                <w:rFonts w:hint="eastAsia"/>
                <w:color w:val="000000" w:themeColor="text1"/>
                <w14:textFill>
                  <w14:solidFill>
                    <w14:schemeClr w14:val="tx1"/>
                  </w14:solidFill>
                </w14:textFill>
              </w:rPr>
            </w:pPr>
          </w:p>
        </w:tc>
      </w:tr>
      <w:tr w14:paraId="77FF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381874DB">
            <w:pPr>
              <w:pStyle w:val="95"/>
              <w:rPr>
                <w:rFonts w:hint="eastAsia"/>
                <w:color w:val="000000" w:themeColor="text1"/>
                <w14:textFill>
                  <w14:solidFill>
                    <w14:schemeClr w14:val="tx1"/>
                  </w14:solidFill>
                </w14:textFill>
              </w:rPr>
            </w:pPr>
          </w:p>
        </w:tc>
        <w:tc>
          <w:tcPr>
            <w:tcW w:w="1976" w:type="dxa"/>
          </w:tcPr>
          <w:p w14:paraId="64D769C4">
            <w:pPr>
              <w:pStyle w:val="95"/>
              <w:rPr>
                <w:rFonts w:hint="eastAsia"/>
                <w:color w:val="000000" w:themeColor="text1"/>
                <w14:textFill>
                  <w14:solidFill>
                    <w14:schemeClr w14:val="tx1"/>
                  </w14:solidFill>
                </w14:textFill>
              </w:rPr>
            </w:pPr>
          </w:p>
        </w:tc>
        <w:tc>
          <w:tcPr>
            <w:tcW w:w="1757" w:type="dxa"/>
          </w:tcPr>
          <w:p w14:paraId="090FDB29">
            <w:pPr>
              <w:pStyle w:val="95"/>
              <w:rPr>
                <w:rFonts w:hint="eastAsia"/>
                <w:color w:val="000000" w:themeColor="text1"/>
                <w14:textFill>
                  <w14:solidFill>
                    <w14:schemeClr w14:val="tx1"/>
                  </w14:solidFill>
                </w14:textFill>
              </w:rPr>
            </w:pPr>
          </w:p>
        </w:tc>
        <w:tc>
          <w:tcPr>
            <w:tcW w:w="2045" w:type="dxa"/>
          </w:tcPr>
          <w:p w14:paraId="6464CD72">
            <w:pPr>
              <w:pStyle w:val="95"/>
              <w:rPr>
                <w:rFonts w:hint="eastAsia"/>
                <w:color w:val="000000" w:themeColor="text1"/>
                <w14:textFill>
                  <w14:solidFill>
                    <w14:schemeClr w14:val="tx1"/>
                  </w14:solidFill>
                </w14:textFill>
              </w:rPr>
            </w:pPr>
          </w:p>
        </w:tc>
        <w:tc>
          <w:tcPr>
            <w:tcW w:w="2045" w:type="dxa"/>
          </w:tcPr>
          <w:p w14:paraId="11E894CD">
            <w:pPr>
              <w:pStyle w:val="95"/>
              <w:rPr>
                <w:rFonts w:hint="eastAsia"/>
                <w:color w:val="000000" w:themeColor="text1"/>
                <w14:textFill>
                  <w14:solidFill>
                    <w14:schemeClr w14:val="tx1"/>
                  </w14:solidFill>
                </w14:textFill>
              </w:rPr>
            </w:pPr>
          </w:p>
        </w:tc>
      </w:tr>
      <w:tr w14:paraId="68BC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627CC39B">
            <w:pPr>
              <w:pStyle w:val="95"/>
              <w:rPr>
                <w:rFonts w:hint="eastAsia"/>
                <w:color w:val="000000" w:themeColor="text1"/>
                <w14:textFill>
                  <w14:solidFill>
                    <w14:schemeClr w14:val="tx1"/>
                  </w14:solidFill>
                </w14:textFill>
              </w:rPr>
            </w:pPr>
          </w:p>
        </w:tc>
        <w:tc>
          <w:tcPr>
            <w:tcW w:w="1976" w:type="dxa"/>
          </w:tcPr>
          <w:p w14:paraId="3E9083AE">
            <w:pPr>
              <w:pStyle w:val="95"/>
              <w:rPr>
                <w:rFonts w:hint="eastAsia"/>
                <w:color w:val="000000" w:themeColor="text1"/>
                <w14:textFill>
                  <w14:solidFill>
                    <w14:schemeClr w14:val="tx1"/>
                  </w14:solidFill>
                </w14:textFill>
              </w:rPr>
            </w:pPr>
          </w:p>
        </w:tc>
        <w:tc>
          <w:tcPr>
            <w:tcW w:w="1757" w:type="dxa"/>
          </w:tcPr>
          <w:p w14:paraId="34BF79DE">
            <w:pPr>
              <w:pStyle w:val="95"/>
              <w:rPr>
                <w:rFonts w:hint="eastAsia"/>
                <w:color w:val="000000" w:themeColor="text1"/>
                <w14:textFill>
                  <w14:solidFill>
                    <w14:schemeClr w14:val="tx1"/>
                  </w14:solidFill>
                </w14:textFill>
              </w:rPr>
            </w:pPr>
          </w:p>
        </w:tc>
        <w:tc>
          <w:tcPr>
            <w:tcW w:w="2045" w:type="dxa"/>
          </w:tcPr>
          <w:p w14:paraId="5F59BEDD">
            <w:pPr>
              <w:pStyle w:val="95"/>
              <w:rPr>
                <w:rFonts w:hint="eastAsia"/>
                <w:color w:val="000000" w:themeColor="text1"/>
                <w14:textFill>
                  <w14:solidFill>
                    <w14:schemeClr w14:val="tx1"/>
                  </w14:solidFill>
                </w14:textFill>
              </w:rPr>
            </w:pPr>
          </w:p>
        </w:tc>
        <w:tc>
          <w:tcPr>
            <w:tcW w:w="2045" w:type="dxa"/>
          </w:tcPr>
          <w:p w14:paraId="7ED33886">
            <w:pPr>
              <w:pStyle w:val="95"/>
              <w:rPr>
                <w:rFonts w:hint="eastAsia"/>
                <w:color w:val="000000" w:themeColor="text1"/>
                <w14:textFill>
                  <w14:solidFill>
                    <w14:schemeClr w14:val="tx1"/>
                  </w14:solidFill>
                </w14:textFill>
              </w:rPr>
            </w:pPr>
          </w:p>
        </w:tc>
      </w:tr>
      <w:tr w14:paraId="5493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3E246DFB">
            <w:pPr>
              <w:pStyle w:val="95"/>
              <w:rPr>
                <w:rFonts w:hint="eastAsia"/>
                <w:color w:val="000000" w:themeColor="text1"/>
                <w14:textFill>
                  <w14:solidFill>
                    <w14:schemeClr w14:val="tx1"/>
                  </w14:solidFill>
                </w14:textFill>
              </w:rPr>
            </w:pPr>
          </w:p>
        </w:tc>
        <w:tc>
          <w:tcPr>
            <w:tcW w:w="1976" w:type="dxa"/>
          </w:tcPr>
          <w:p w14:paraId="459E6012">
            <w:pPr>
              <w:pStyle w:val="95"/>
              <w:rPr>
                <w:rFonts w:hint="eastAsia"/>
                <w:color w:val="000000" w:themeColor="text1"/>
                <w14:textFill>
                  <w14:solidFill>
                    <w14:schemeClr w14:val="tx1"/>
                  </w14:solidFill>
                </w14:textFill>
              </w:rPr>
            </w:pPr>
          </w:p>
        </w:tc>
        <w:tc>
          <w:tcPr>
            <w:tcW w:w="1757" w:type="dxa"/>
          </w:tcPr>
          <w:p w14:paraId="0424AFF8">
            <w:pPr>
              <w:pStyle w:val="95"/>
              <w:rPr>
                <w:rFonts w:hint="eastAsia"/>
                <w:color w:val="000000" w:themeColor="text1"/>
                <w14:textFill>
                  <w14:solidFill>
                    <w14:schemeClr w14:val="tx1"/>
                  </w14:solidFill>
                </w14:textFill>
              </w:rPr>
            </w:pPr>
          </w:p>
        </w:tc>
        <w:tc>
          <w:tcPr>
            <w:tcW w:w="2045" w:type="dxa"/>
          </w:tcPr>
          <w:p w14:paraId="49F6A250">
            <w:pPr>
              <w:pStyle w:val="95"/>
              <w:rPr>
                <w:rFonts w:hint="eastAsia"/>
                <w:color w:val="000000" w:themeColor="text1"/>
                <w14:textFill>
                  <w14:solidFill>
                    <w14:schemeClr w14:val="tx1"/>
                  </w14:solidFill>
                </w14:textFill>
              </w:rPr>
            </w:pPr>
          </w:p>
        </w:tc>
        <w:tc>
          <w:tcPr>
            <w:tcW w:w="2045" w:type="dxa"/>
          </w:tcPr>
          <w:p w14:paraId="4B38FF1E">
            <w:pPr>
              <w:pStyle w:val="95"/>
              <w:rPr>
                <w:rFonts w:hint="eastAsia"/>
                <w:color w:val="000000" w:themeColor="text1"/>
                <w14:textFill>
                  <w14:solidFill>
                    <w14:schemeClr w14:val="tx1"/>
                  </w14:solidFill>
                </w14:textFill>
              </w:rPr>
            </w:pPr>
          </w:p>
        </w:tc>
      </w:tr>
      <w:tr w14:paraId="07C9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3ADE277A">
            <w:pPr>
              <w:pStyle w:val="95"/>
              <w:rPr>
                <w:rFonts w:hint="eastAsia"/>
                <w:color w:val="000000" w:themeColor="text1"/>
                <w14:textFill>
                  <w14:solidFill>
                    <w14:schemeClr w14:val="tx1"/>
                  </w14:solidFill>
                </w14:textFill>
              </w:rPr>
            </w:pPr>
          </w:p>
        </w:tc>
        <w:tc>
          <w:tcPr>
            <w:tcW w:w="1976" w:type="dxa"/>
          </w:tcPr>
          <w:p w14:paraId="36CDE577">
            <w:pPr>
              <w:pStyle w:val="95"/>
              <w:rPr>
                <w:rFonts w:hint="eastAsia"/>
                <w:color w:val="000000" w:themeColor="text1"/>
                <w14:textFill>
                  <w14:solidFill>
                    <w14:schemeClr w14:val="tx1"/>
                  </w14:solidFill>
                </w14:textFill>
              </w:rPr>
            </w:pPr>
          </w:p>
        </w:tc>
        <w:tc>
          <w:tcPr>
            <w:tcW w:w="1757" w:type="dxa"/>
          </w:tcPr>
          <w:p w14:paraId="3A996A3A">
            <w:pPr>
              <w:pStyle w:val="95"/>
              <w:rPr>
                <w:rFonts w:hint="eastAsia"/>
                <w:color w:val="000000" w:themeColor="text1"/>
                <w14:textFill>
                  <w14:solidFill>
                    <w14:schemeClr w14:val="tx1"/>
                  </w14:solidFill>
                </w14:textFill>
              </w:rPr>
            </w:pPr>
          </w:p>
        </w:tc>
        <w:tc>
          <w:tcPr>
            <w:tcW w:w="2045" w:type="dxa"/>
          </w:tcPr>
          <w:p w14:paraId="616773E8">
            <w:pPr>
              <w:pStyle w:val="95"/>
              <w:rPr>
                <w:rFonts w:hint="eastAsia"/>
                <w:color w:val="000000" w:themeColor="text1"/>
                <w14:textFill>
                  <w14:solidFill>
                    <w14:schemeClr w14:val="tx1"/>
                  </w14:solidFill>
                </w14:textFill>
              </w:rPr>
            </w:pPr>
          </w:p>
        </w:tc>
        <w:tc>
          <w:tcPr>
            <w:tcW w:w="2045" w:type="dxa"/>
          </w:tcPr>
          <w:p w14:paraId="14545871">
            <w:pPr>
              <w:pStyle w:val="95"/>
              <w:rPr>
                <w:rFonts w:hint="eastAsia"/>
                <w:color w:val="000000" w:themeColor="text1"/>
                <w14:textFill>
                  <w14:solidFill>
                    <w14:schemeClr w14:val="tx1"/>
                  </w14:solidFill>
                </w14:textFill>
              </w:rPr>
            </w:pPr>
          </w:p>
        </w:tc>
      </w:tr>
      <w:tr w14:paraId="05AC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400C2966">
            <w:pPr>
              <w:pStyle w:val="95"/>
              <w:rPr>
                <w:rFonts w:hint="eastAsia"/>
                <w:color w:val="000000" w:themeColor="text1"/>
                <w14:textFill>
                  <w14:solidFill>
                    <w14:schemeClr w14:val="tx1"/>
                  </w14:solidFill>
                </w14:textFill>
              </w:rPr>
            </w:pPr>
          </w:p>
        </w:tc>
        <w:tc>
          <w:tcPr>
            <w:tcW w:w="1976" w:type="dxa"/>
          </w:tcPr>
          <w:p w14:paraId="1FE41C63">
            <w:pPr>
              <w:pStyle w:val="95"/>
              <w:rPr>
                <w:rFonts w:hint="eastAsia"/>
                <w:color w:val="000000" w:themeColor="text1"/>
                <w14:textFill>
                  <w14:solidFill>
                    <w14:schemeClr w14:val="tx1"/>
                  </w14:solidFill>
                </w14:textFill>
              </w:rPr>
            </w:pPr>
          </w:p>
        </w:tc>
        <w:tc>
          <w:tcPr>
            <w:tcW w:w="1757" w:type="dxa"/>
          </w:tcPr>
          <w:p w14:paraId="4CCF10E1">
            <w:pPr>
              <w:pStyle w:val="95"/>
              <w:rPr>
                <w:rFonts w:hint="eastAsia"/>
                <w:color w:val="000000" w:themeColor="text1"/>
                <w14:textFill>
                  <w14:solidFill>
                    <w14:schemeClr w14:val="tx1"/>
                  </w14:solidFill>
                </w14:textFill>
              </w:rPr>
            </w:pPr>
          </w:p>
        </w:tc>
        <w:tc>
          <w:tcPr>
            <w:tcW w:w="2045" w:type="dxa"/>
          </w:tcPr>
          <w:p w14:paraId="550A74F4">
            <w:pPr>
              <w:pStyle w:val="95"/>
              <w:rPr>
                <w:rFonts w:hint="eastAsia"/>
                <w:color w:val="000000" w:themeColor="text1"/>
                <w14:textFill>
                  <w14:solidFill>
                    <w14:schemeClr w14:val="tx1"/>
                  </w14:solidFill>
                </w14:textFill>
              </w:rPr>
            </w:pPr>
          </w:p>
        </w:tc>
        <w:tc>
          <w:tcPr>
            <w:tcW w:w="2045" w:type="dxa"/>
          </w:tcPr>
          <w:p w14:paraId="567DA6BC">
            <w:pPr>
              <w:pStyle w:val="95"/>
              <w:rPr>
                <w:rFonts w:hint="eastAsia"/>
                <w:color w:val="000000" w:themeColor="text1"/>
                <w14:textFill>
                  <w14:solidFill>
                    <w14:schemeClr w14:val="tx1"/>
                  </w14:solidFill>
                </w14:textFill>
              </w:rPr>
            </w:pPr>
          </w:p>
        </w:tc>
      </w:tr>
      <w:tr w14:paraId="6AAA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2EA4664E">
            <w:pPr>
              <w:pStyle w:val="95"/>
              <w:rPr>
                <w:rFonts w:hint="eastAsia"/>
                <w:color w:val="000000" w:themeColor="text1"/>
                <w14:textFill>
                  <w14:solidFill>
                    <w14:schemeClr w14:val="tx1"/>
                  </w14:solidFill>
                </w14:textFill>
              </w:rPr>
            </w:pPr>
          </w:p>
        </w:tc>
        <w:tc>
          <w:tcPr>
            <w:tcW w:w="1976" w:type="dxa"/>
          </w:tcPr>
          <w:p w14:paraId="1791E019">
            <w:pPr>
              <w:pStyle w:val="95"/>
              <w:rPr>
                <w:rFonts w:hint="eastAsia"/>
                <w:color w:val="000000" w:themeColor="text1"/>
                <w14:textFill>
                  <w14:solidFill>
                    <w14:schemeClr w14:val="tx1"/>
                  </w14:solidFill>
                </w14:textFill>
              </w:rPr>
            </w:pPr>
          </w:p>
        </w:tc>
        <w:tc>
          <w:tcPr>
            <w:tcW w:w="1757" w:type="dxa"/>
          </w:tcPr>
          <w:p w14:paraId="364C0CEB">
            <w:pPr>
              <w:pStyle w:val="95"/>
              <w:rPr>
                <w:rFonts w:hint="eastAsia"/>
                <w:color w:val="000000" w:themeColor="text1"/>
                <w14:textFill>
                  <w14:solidFill>
                    <w14:schemeClr w14:val="tx1"/>
                  </w14:solidFill>
                </w14:textFill>
              </w:rPr>
            </w:pPr>
          </w:p>
        </w:tc>
        <w:tc>
          <w:tcPr>
            <w:tcW w:w="2045" w:type="dxa"/>
          </w:tcPr>
          <w:p w14:paraId="1E72338B">
            <w:pPr>
              <w:pStyle w:val="95"/>
              <w:rPr>
                <w:rFonts w:hint="eastAsia"/>
                <w:color w:val="000000" w:themeColor="text1"/>
                <w14:textFill>
                  <w14:solidFill>
                    <w14:schemeClr w14:val="tx1"/>
                  </w14:solidFill>
                </w14:textFill>
              </w:rPr>
            </w:pPr>
          </w:p>
        </w:tc>
        <w:tc>
          <w:tcPr>
            <w:tcW w:w="2045" w:type="dxa"/>
          </w:tcPr>
          <w:p w14:paraId="2B0D734C">
            <w:pPr>
              <w:pStyle w:val="95"/>
              <w:rPr>
                <w:rFonts w:hint="eastAsia"/>
                <w:color w:val="000000" w:themeColor="text1"/>
                <w14:textFill>
                  <w14:solidFill>
                    <w14:schemeClr w14:val="tx1"/>
                  </w14:solidFill>
                </w14:textFill>
              </w:rPr>
            </w:pPr>
          </w:p>
        </w:tc>
      </w:tr>
      <w:tr w14:paraId="0EB8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6" w:type="dxa"/>
          </w:tcPr>
          <w:p w14:paraId="1DCF514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976" w:type="dxa"/>
          </w:tcPr>
          <w:p w14:paraId="6840740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757" w:type="dxa"/>
          </w:tcPr>
          <w:p w14:paraId="2F2D964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045" w:type="dxa"/>
          </w:tcPr>
          <w:p w14:paraId="12162C8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2045" w:type="dxa"/>
          </w:tcPr>
          <w:p w14:paraId="0A38BF86">
            <w:pPr>
              <w:pStyle w:val="95"/>
              <w:rPr>
                <w:rFonts w:hint="eastAsia"/>
                <w:color w:val="000000" w:themeColor="text1"/>
                <w14:textFill>
                  <w14:solidFill>
                    <w14:schemeClr w14:val="tx1"/>
                  </w14:solidFill>
                </w14:textFill>
              </w:rPr>
            </w:pPr>
          </w:p>
        </w:tc>
      </w:tr>
    </w:tbl>
    <w:p w14:paraId="19D34C69">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说明：投标人应按照招标文件第三章 采购需求“三、技术要求”填写。</w:t>
      </w:r>
    </w:p>
    <w:p w14:paraId="7FA61FE5">
      <w:pPr>
        <w:ind w:firstLine="480" w:firstLineChars="200"/>
        <w:rPr>
          <w:rFonts w:hint="eastAsia" w:cs="仿宋_GB2312"/>
          <w:color w:val="000000" w:themeColor="text1"/>
          <w:szCs w:val="24"/>
          <w14:textFill>
            <w14:solidFill>
              <w14:schemeClr w14:val="tx1"/>
            </w14:solidFill>
          </w14:textFill>
        </w:rPr>
      </w:pPr>
    </w:p>
    <w:p w14:paraId="7891F95E">
      <w:pPr>
        <w:ind w:firstLine="480" w:firstLineChars="20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投标人名称：</w:t>
      </w:r>
    </w:p>
    <w:p w14:paraId="7889C428">
      <w:pPr>
        <w:ind w:firstLine="420"/>
        <w:rPr>
          <w:rFonts w:hint="eastAsia" w:cs="仿宋_GB2312"/>
          <w:color w:val="000000" w:themeColor="text1"/>
          <w:szCs w:val="24"/>
          <w14:textFill>
            <w14:solidFill>
              <w14:schemeClr w14:val="tx1"/>
            </w14:solidFill>
          </w14:textFill>
        </w:rPr>
      </w:pPr>
      <w:r>
        <w:rPr>
          <w:rFonts w:hint="eastAsia" w:cs="仿宋_GB2312"/>
          <w:color w:val="000000" w:themeColor="text1"/>
          <w:szCs w:val="24"/>
          <w14:textFill>
            <w14:solidFill>
              <w14:schemeClr w14:val="tx1"/>
            </w14:solidFill>
          </w14:textFill>
        </w:rPr>
        <w:t>日      期：</w:t>
      </w:r>
    </w:p>
    <w:p w14:paraId="6D016FBB">
      <w:pPr>
        <w:ind w:firstLine="420"/>
        <w:rPr>
          <w:rFonts w:hint="eastAsia" w:cs="仿宋_GB2312"/>
          <w:color w:val="000000" w:themeColor="text1"/>
          <w:szCs w:val="24"/>
          <w14:textFill>
            <w14:solidFill>
              <w14:schemeClr w14:val="tx1"/>
            </w14:solidFill>
          </w14:textFill>
        </w:rPr>
      </w:pPr>
      <w:r>
        <w:rPr>
          <w:rFonts w:cs="仿宋_GB2312"/>
          <w:color w:val="000000" w:themeColor="text1"/>
          <w:szCs w:val="24"/>
          <w14:textFill>
            <w14:solidFill>
              <w14:schemeClr w14:val="tx1"/>
            </w14:solidFill>
          </w14:textFill>
        </w:rPr>
        <w:br w:type="page"/>
      </w:r>
    </w:p>
    <w:p w14:paraId="6F70A1F3">
      <w:pPr>
        <w:pStyle w:val="6"/>
        <w:numPr>
          <w:ilvl w:val="0"/>
          <w:numId w:val="33"/>
        </w:numPr>
        <w:spacing w:before="0" w:after="0"/>
        <w:ind w:left="0"/>
        <w:rPr>
          <w:rFonts w:hint="eastAsia"/>
          <w:color w:val="000000" w:themeColor="text1"/>
          <w14:textFill>
            <w14:solidFill>
              <w14:schemeClr w14:val="tx1"/>
            </w14:solidFill>
          </w14:textFill>
        </w:rPr>
      </w:pPr>
      <w:bookmarkStart w:id="513" w:name="_Toc13196"/>
      <w:bookmarkStart w:id="514" w:name="_Toc9499"/>
      <w:r>
        <w:rPr>
          <w:rFonts w:hint="eastAsia"/>
          <w:color w:val="000000" w:themeColor="text1"/>
          <w14:textFill>
            <w14:solidFill>
              <w14:schemeClr w14:val="tx1"/>
            </w14:solidFill>
          </w14:textFill>
        </w:rPr>
        <w:t>技术方案</w:t>
      </w:r>
      <w:bookmarkEnd w:id="513"/>
      <w:bookmarkEnd w:id="514"/>
    </w:p>
    <w:p w14:paraId="61E30DA6">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投标人应按照招标文件的要求，提供详细的服务方案，包括文字描述或图表显示。格式自拟。</w:t>
      </w:r>
    </w:p>
    <w:p w14:paraId="7005A50F">
      <w:pPr>
        <w:pStyle w:val="91"/>
        <w:wordWrap/>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6DFE7B25">
      <w:pPr>
        <w:pStyle w:val="6"/>
        <w:numPr>
          <w:ilvl w:val="0"/>
          <w:numId w:val="33"/>
        </w:numPr>
        <w:spacing w:before="0" w:after="0"/>
        <w:ind w:left="0"/>
        <w:rPr>
          <w:rFonts w:hint="eastAsia"/>
          <w:color w:val="000000" w:themeColor="text1"/>
          <w14:textFill>
            <w14:solidFill>
              <w14:schemeClr w14:val="tx1"/>
            </w14:solidFill>
          </w14:textFill>
        </w:rPr>
      </w:pPr>
      <w:bookmarkStart w:id="515" w:name="_Toc11059"/>
      <w:bookmarkStart w:id="516" w:name="_Toc20864"/>
      <w:r>
        <w:rPr>
          <w:rFonts w:hint="eastAsia"/>
          <w:color w:val="000000" w:themeColor="text1"/>
          <w14:textFill>
            <w14:solidFill>
              <w14:schemeClr w14:val="tx1"/>
            </w14:solidFill>
          </w14:textFill>
        </w:rPr>
        <w:t>其他技术文件</w:t>
      </w:r>
      <w:bookmarkEnd w:id="515"/>
      <w:bookmarkEnd w:id="516"/>
    </w:p>
    <w:p w14:paraId="3456799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招标文件要求提供的其它技术资料和证明材料；</w:t>
      </w:r>
    </w:p>
    <w:p w14:paraId="678B0AD2">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投标人认为需要提供的其它技术资料和说明。</w:t>
      </w:r>
      <w:r>
        <w:rPr>
          <w:color w:val="000000" w:themeColor="text1"/>
          <w14:textFill>
            <w14:solidFill>
              <w14:schemeClr w14:val="tx1"/>
            </w14:solidFill>
          </w14:textFill>
        </w:rPr>
        <w:br w:type="page"/>
      </w:r>
    </w:p>
    <w:p w14:paraId="0D21EDD2">
      <w:pPr>
        <w:pStyle w:val="91"/>
        <w:wordWrap/>
        <w:rPr>
          <w:rFonts w:hint="eastAsia"/>
          <w:color w:val="000000" w:themeColor="text1"/>
          <w14:textFill>
            <w14:solidFill>
              <w14:schemeClr w14:val="tx1"/>
            </w14:solidFill>
          </w14:textFill>
        </w:rPr>
      </w:pPr>
    </w:p>
    <w:p w14:paraId="6624BB58">
      <w:pPr>
        <w:pStyle w:val="5"/>
        <w:numPr>
          <w:ilvl w:val="0"/>
          <w:numId w:val="31"/>
        </w:numPr>
        <w:spacing w:before="0" w:after="0"/>
        <w:ind w:left="0"/>
        <w:rPr>
          <w:rFonts w:hint="eastAsia"/>
          <w:color w:val="000000" w:themeColor="text1"/>
          <w14:textFill>
            <w14:solidFill>
              <w14:schemeClr w14:val="tx1"/>
            </w14:solidFill>
          </w14:textFill>
        </w:rPr>
      </w:pPr>
      <w:bookmarkStart w:id="517" w:name="_Toc8718"/>
      <w:bookmarkStart w:id="518" w:name="_Toc532"/>
      <w:r>
        <w:rPr>
          <w:rFonts w:hint="eastAsia"/>
          <w:color w:val="000000" w:themeColor="text1"/>
          <w14:textFill>
            <w14:solidFill>
              <w14:schemeClr w14:val="tx1"/>
            </w14:solidFill>
          </w14:textFill>
        </w:rPr>
        <w:t>落实政府采购政策相关证明文件</w:t>
      </w:r>
      <w:bookmarkEnd w:id="517"/>
      <w:bookmarkEnd w:id="518"/>
    </w:p>
    <w:p w14:paraId="0C9F78F4">
      <w:pPr>
        <w:pStyle w:val="6"/>
        <w:numPr>
          <w:ilvl w:val="0"/>
          <w:numId w:val="34"/>
        </w:numPr>
        <w:spacing w:before="0" w:after="0"/>
        <w:ind w:left="0"/>
        <w:rPr>
          <w:rFonts w:hint="eastAsia"/>
          <w:color w:val="000000" w:themeColor="text1"/>
          <w14:textFill>
            <w14:solidFill>
              <w14:schemeClr w14:val="tx1"/>
            </w14:solidFill>
          </w14:textFill>
        </w:rPr>
      </w:pPr>
      <w:bookmarkStart w:id="519" w:name="_Toc27536"/>
      <w:bookmarkStart w:id="520" w:name="_Toc7018"/>
      <w:r>
        <w:rPr>
          <w:rFonts w:hint="eastAsia"/>
          <w:color w:val="000000" w:themeColor="text1"/>
          <w14:textFill>
            <w14:solidFill>
              <w14:schemeClr w14:val="tx1"/>
            </w14:solidFill>
          </w14:textFill>
        </w:rPr>
        <w:t>节能环保产品清单及证明材料【如适用】</w:t>
      </w:r>
      <w:bookmarkEnd w:id="519"/>
      <w:bookmarkEnd w:id="520"/>
    </w:p>
    <w:p w14:paraId="23F3F437">
      <w:pPr>
        <w:spacing w:line="300" w:lineRule="auto"/>
        <w:rPr>
          <w:rFonts w:ascii="Arial" w:hAnsi="Arial" w:cs="Arial"/>
          <w:color w:val="000000" w:themeColor="text1"/>
          <w:szCs w:val="21"/>
          <w:u w:val="single"/>
          <w14:textFill>
            <w14:solidFill>
              <w14:schemeClr w14:val="tx1"/>
            </w14:solidFill>
          </w14:textFill>
        </w:rPr>
      </w:pPr>
      <w:r>
        <w:rPr>
          <w:rFonts w:ascii="Arial" w:hAnsi="Arial" w:cs="Arial"/>
          <w:color w:val="000000" w:themeColor="text1"/>
          <w:szCs w:val="21"/>
          <w14:textFill>
            <w14:solidFill>
              <w14:schemeClr w14:val="tx1"/>
            </w14:solidFill>
          </w14:textFill>
        </w:rPr>
        <w:t>项目名称：项目编号：</w:t>
      </w:r>
      <w:r>
        <w:rPr>
          <w:rFonts w:hint="eastAsia" w:ascii="Arial" w:hAnsi="Arial" w:cs="Arial"/>
          <w:color w:val="000000" w:themeColor="text1"/>
          <w:szCs w:val="21"/>
          <w14:textFill>
            <w14:solidFill>
              <w14:schemeClr w14:val="tx1"/>
            </w14:solidFill>
          </w14:textFill>
        </w:rPr>
        <w:t>包号</w:t>
      </w:r>
      <w:r>
        <w:rPr>
          <w:rFonts w:ascii="Arial" w:hAnsi="Arial" w:cs="Arial"/>
          <w:color w:val="000000" w:themeColor="text1"/>
          <w:szCs w:val="21"/>
          <w14:textFill>
            <w14:solidFill>
              <w14:schemeClr w14:val="tx1"/>
            </w14:solidFill>
          </w14:textFill>
        </w:rPr>
        <w:t>：</w:t>
      </w:r>
    </w:p>
    <w:p w14:paraId="7C612012">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）节能产品</w:t>
      </w:r>
    </w:p>
    <w:tbl>
      <w:tblPr>
        <w:tblStyle w:val="8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8"/>
        <w:gridCol w:w="993"/>
        <w:gridCol w:w="991"/>
        <w:gridCol w:w="698"/>
        <w:gridCol w:w="708"/>
        <w:gridCol w:w="1134"/>
        <w:gridCol w:w="1097"/>
        <w:gridCol w:w="1050"/>
      </w:tblGrid>
      <w:tr w14:paraId="601A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03267803">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0A358319">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993" w:type="dxa"/>
            <w:tcBorders>
              <w:top w:val="single" w:color="auto" w:sz="4" w:space="0"/>
              <w:left w:val="single" w:color="auto" w:sz="4" w:space="0"/>
              <w:bottom w:val="single" w:color="auto" w:sz="4" w:space="0"/>
              <w:right w:val="single" w:color="auto" w:sz="4" w:space="0"/>
            </w:tcBorders>
            <w:vAlign w:val="center"/>
          </w:tcPr>
          <w:p w14:paraId="03769FCF">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2AB8D33C">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3AC15F4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10A5F29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BA72C57">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p w14:paraId="793274E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654A86F8">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p w14:paraId="30CF14F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40A3F4E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属强制采购或优先采购</w:t>
            </w:r>
          </w:p>
        </w:tc>
      </w:tr>
      <w:tr w14:paraId="2257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CE63BE1">
            <w:pPr>
              <w:pStyle w:val="95"/>
              <w:numPr>
                <w:ilvl w:val="0"/>
                <w:numId w:val="35"/>
              </w:numPr>
              <w:ind w:left="0"/>
              <w:rPr>
                <w:rFonts w:hint="eastAsia"/>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25931F96">
            <w:pPr>
              <w:pStyle w:val="95"/>
              <w:rPr>
                <w:rFonts w:hint="eastAsia"/>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2375A340">
            <w:pPr>
              <w:pStyle w:val="95"/>
              <w:rPr>
                <w:rFonts w:hint="eastAsia"/>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3E5ABFFB">
            <w:pPr>
              <w:pStyle w:val="95"/>
              <w:rPr>
                <w:rFonts w:hint="eastAsia"/>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32662676">
            <w:pPr>
              <w:pStyle w:val="95"/>
              <w:rPr>
                <w:rFonts w:hint="eastAsia"/>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35DD41DF">
            <w:pPr>
              <w:pStyle w:val="95"/>
              <w:rPr>
                <w:rFonts w:hint="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D70FFE6">
            <w:pPr>
              <w:pStyle w:val="95"/>
              <w:rPr>
                <w:rFonts w:hint="eastAsia"/>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7EEFA9A3">
            <w:pPr>
              <w:pStyle w:val="95"/>
              <w:rPr>
                <w:rFonts w:hint="eastAsia"/>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7CC901B0">
            <w:pPr>
              <w:pStyle w:val="95"/>
              <w:rPr>
                <w:rFonts w:hint="eastAsia"/>
                <w:color w:val="000000" w:themeColor="text1"/>
                <w14:textFill>
                  <w14:solidFill>
                    <w14:schemeClr w14:val="tx1"/>
                  </w14:solidFill>
                </w14:textFill>
              </w:rPr>
            </w:pPr>
          </w:p>
        </w:tc>
      </w:tr>
      <w:tr w14:paraId="62F8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4076DDFA">
            <w:pPr>
              <w:pStyle w:val="95"/>
              <w:numPr>
                <w:ilvl w:val="0"/>
                <w:numId w:val="35"/>
              </w:numPr>
              <w:ind w:left="0"/>
              <w:rPr>
                <w:rFonts w:hint="eastAsia"/>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tcPr>
          <w:p w14:paraId="2E065F6F">
            <w:pPr>
              <w:pStyle w:val="95"/>
              <w:rPr>
                <w:rFonts w:hint="eastAsia"/>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33847B3A">
            <w:pPr>
              <w:pStyle w:val="95"/>
              <w:rPr>
                <w:rFonts w:hint="eastAsia"/>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52DF4B41">
            <w:pPr>
              <w:pStyle w:val="95"/>
              <w:rPr>
                <w:rFonts w:hint="eastAsia"/>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33864AB2">
            <w:pPr>
              <w:pStyle w:val="95"/>
              <w:rPr>
                <w:rFonts w:hint="eastAsia"/>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87CE99C">
            <w:pPr>
              <w:pStyle w:val="95"/>
              <w:rPr>
                <w:rFonts w:hint="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297AEB9">
            <w:pPr>
              <w:pStyle w:val="95"/>
              <w:rPr>
                <w:rFonts w:hint="eastAsia"/>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11639732">
            <w:pPr>
              <w:pStyle w:val="95"/>
              <w:rPr>
                <w:rFonts w:hint="eastAsia"/>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623C09FC">
            <w:pPr>
              <w:pStyle w:val="95"/>
              <w:rPr>
                <w:rFonts w:hint="eastAsia"/>
                <w:color w:val="000000" w:themeColor="text1"/>
                <w14:textFill>
                  <w14:solidFill>
                    <w14:schemeClr w14:val="tx1"/>
                  </w14:solidFill>
                </w14:textFill>
              </w:rPr>
            </w:pPr>
          </w:p>
        </w:tc>
      </w:tr>
      <w:tr w14:paraId="27F8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C2FE665">
            <w:pPr>
              <w:pStyle w:val="95"/>
              <w:numPr>
                <w:ilvl w:val="0"/>
                <w:numId w:val="35"/>
              </w:numPr>
              <w:ind w:left="0"/>
              <w:rPr>
                <w:rFonts w:hint="eastAsia"/>
                <w:color w:val="000000" w:themeColor="text1"/>
                <w14:textFill>
                  <w14:solidFill>
                    <w14:schemeClr w14:val="tx1"/>
                  </w14:solidFill>
                </w14:textFill>
              </w:rPr>
            </w:pPr>
          </w:p>
        </w:tc>
        <w:tc>
          <w:tcPr>
            <w:tcW w:w="1518" w:type="dxa"/>
            <w:tcBorders>
              <w:top w:val="single" w:color="auto" w:sz="4" w:space="0"/>
              <w:left w:val="single" w:color="auto" w:sz="4" w:space="0"/>
              <w:bottom w:val="single" w:color="auto" w:sz="4" w:space="0"/>
              <w:right w:val="single" w:color="auto" w:sz="4" w:space="0"/>
            </w:tcBorders>
            <w:vAlign w:val="center"/>
          </w:tcPr>
          <w:p w14:paraId="68649C42">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w:t>
            </w:r>
          </w:p>
        </w:tc>
        <w:tc>
          <w:tcPr>
            <w:tcW w:w="993" w:type="dxa"/>
            <w:tcBorders>
              <w:top w:val="single" w:color="auto" w:sz="4" w:space="0"/>
              <w:left w:val="single" w:color="auto" w:sz="4" w:space="0"/>
              <w:bottom w:val="single" w:color="auto" w:sz="4" w:space="0"/>
              <w:right w:val="single" w:color="auto" w:sz="4" w:space="0"/>
            </w:tcBorders>
            <w:vAlign w:val="center"/>
          </w:tcPr>
          <w:p w14:paraId="78BBE8E9">
            <w:pPr>
              <w:pStyle w:val="95"/>
              <w:rPr>
                <w:rFonts w:hint="eastAsia"/>
                <w:color w:val="000000" w:themeColor="text1"/>
                <w14:textFill>
                  <w14:solidFill>
                    <w14:schemeClr w14:val="tx1"/>
                  </w14:solidFill>
                </w14:textFill>
              </w:rPr>
            </w:pPr>
          </w:p>
        </w:tc>
        <w:tc>
          <w:tcPr>
            <w:tcW w:w="991" w:type="dxa"/>
            <w:tcBorders>
              <w:top w:val="single" w:color="auto" w:sz="4" w:space="0"/>
              <w:left w:val="single" w:color="auto" w:sz="4" w:space="0"/>
              <w:bottom w:val="single" w:color="auto" w:sz="4" w:space="0"/>
              <w:right w:val="single" w:color="auto" w:sz="4" w:space="0"/>
            </w:tcBorders>
            <w:vAlign w:val="center"/>
          </w:tcPr>
          <w:p w14:paraId="7A28214E">
            <w:pPr>
              <w:pStyle w:val="95"/>
              <w:rPr>
                <w:rFonts w:hint="eastAsia"/>
                <w:color w:val="000000" w:themeColor="text1"/>
                <w14:textFill>
                  <w14:solidFill>
                    <w14:schemeClr w14:val="tx1"/>
                  </w14:solidFill>
                </w14:textFill>
              </w:rPr>
            </w:pPr>
          </w:p>
        </w:tc>
        <w:tc>
          <w:tcPr>
            <w:tcW w:w="698" w:type="dxa"/>
            <w:tcBorders>
              <w:top w:val="single" w:color="auto" w:sz="4" w:space="0"/>
              <w:left w:val="single" w:color="auto" w:sz="4" w:space="0"/>
              <w:bottom w:val="single" w:color="auto" w:sz="4" w:space="0"/>
              <w:right w:val="single" w:color="auto" w:sz="4" w:space="0"/>
            </w:tcBorders>
            <w:vAlign w:val="center"/>
          </w:tcPr>
          <w:p w14:paraId="73FABAC9">
            <w:pPr>
              <w:pStyle w:val="95"/>
              <w:rPr>
                <w:rFonts w:hint="eastAsia"/>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796C77DF">
            <w:pPr>
              <w:pStyle w:val="95"/>
              <w:rPr>
                <w:rFonts w:hint="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64E0A568">
            <w:pPr>
              <w:pStyle w:val="95"/>
              <w:rPr>
                <w:rFonts w:hint="eastAsia"/>
                <w:color w:val="000000" w:themeColor="text1"/>
                <w14:textFill>
                  <w14:solidFill>
                    <w14:schemeClr w14:val="tx1"/>
                  </w14:solidFill>
                </w14:textFill>
              </w:rPr>
            </w:pPr>
          </w:p>
        </w:tc>
        <w:tc>
          <w:tcPr>
            <w:tcW w:w="1097" w:type="dxa"/>
            <w:tcBorders>
              <w:top w:val="single" w:color="auto" w:sz="4" w:space="0"/>
              <w:left w:val="single" w:color="auto" w:sz="4" w:space="0"/>
              <w:bottom w:val="single" w:color="auto" w:sz="4" w:space="0"/>
              <w:right w:val="single" w:color="auto" w:sz="4" w:space="0"/>
            </w:tcBorders>
            <w:vAlign w:val="center"/>
          </w:tcPr>
          <w:p w14:paraId="472A4DD4">
            <w:pPr>
              <w:pStyle w:val="95"/>
              <w:rPr>
                <w:rFonts w:hint="eastAsia"/>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14:paraId="0B2B90F8">
            <w:pPr>
              <w:pStyle w:val="95"/>
              <w:rPr>
                <w:rFonts w:hint="eastAsia"/>
                <w:color w:val="000000" w:themeColor="text1"/>
                <w14:textFill>
                  <w14:solidFill>
                    <w14:schemeClr w14:val="tx1"/>
                  </w14:solidFill>
                </w14:textFill>
              </w:rPr>
            </w:pPr>
          </w:p>
        </w:tc>
      </w:tr>
    </w:tbl>
    <w:p w14:paraId="351D6542">
      <w:pPr>
        <w:spacing w:line="300" w:lineRule="auto"/>
        <w:rPr>
          <w:rFonts w:ascii="Arial" w:hAnsi="Arial" w:cs="Arial"/>
          <w:color w:val="000000" w:themeColor="text1"/>
          <w:szCs w:val="21"/>
          <w14:textFill>
            <w14:solidFill>
              <w14:schemeClr w14:val="tx1"/>
            </w14:solidFill>
          </w14:textFill>
        </w:rPr>
      </w:pPr>
    </w:p>
    <w:p w14:paraId="3043DF54">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r>
        <w:rPr>
          <w:rFonts w:hint="eastAsia" w:ascii="Arial" w:hAnsi="Arial" w:cs="Arial"/>
          <w:color w:val="000000" w:themeColor="text1"/>
          <w:szCs w:val="21"/>
          <w14:textFill>
            <w14:solidFill>
              <w14:schemeClr w14:val="tx1"/>
            </w14:solidFill>
          </w14:textFill>
        </w:rPr>
        <w:t>）环保产品</w:t>
      </w:r>
    </w:p>
    <w:tbl>
      <w:tblPr>
        <w:tblStyle w:val="81"/>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6"/>
        <w:gridCol w:w="1728"/>
        <w:gridCol w:w="1186"/>
        <w:gridCol w:w="848"/>
        <w:gridCol w:w="848"/>
        <w:gridCol w:w="945"/>
        <w:gridCol w:w="1450"/>
        <w:gridCol w:w="1165"/>
      </w:tblGrid>
      <w:tr w14:paraId="652C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5D1E3B2">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5CA169A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设备名称</w:t>
            </w:r>
          </w:p>
        </w:tc>
        <w:tc>
          <w:tcPr>
            <w:tcW w:w="1186" w:type="dxa"/>
            <w:tcBorders>
              <w:top w:val="single" w:color="auto" w:sz="4" w:space="0"/>
              <w:left w:val="single" w:color="auto" w:sz="4" w:space="0"/>
              <w:bottom w:val="single" w:color="auto" w:sz="4" w:space="0"/>
              <w:right w:val="single" w:color="auto" w:sz="4" w:space="0"/>
            </w:tcBorders>
            <w:vAlign w:val="center"/>
          </w:tcPr>
          <w:p w14:paraId="73D485A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制造商</w:t>
            </w:r>
          </w:p>
          <w:p w14:paraId="54151261">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03DD844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50FED27D">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7C3411FA">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1744C206">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单价</w:t>
            </w:r>
          </w:p>
          <w:p w14:paraId="0390635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21CD67E5">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总价</w:t>
            </w:r>
          </w:p>
          <w:p w14:paraId="34E6FF10">
            <w:pPr>
              <w:pStyle w:val="9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r>
      <w:tr w14:paraId="6658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3BC69F6">
            <w:pPr>
              <w:pStyle w:val="95"/>
              <w:numPr>
                <w:ilvl w:val="0"/>
                <w:numId w:val="36"/>
              </w:numPr>
              <w:ind w:left="0"/>
              <w:rPr>
                <w:rFonts w:hint="eastAsia"/>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0AF82F54">
            <w:pPr>
              <w:pStyle w:val="95"/>
              <w:rPr>
                <w:rFonts w:hint="eastAsia"/>
                <w:color w:val="000000" w:themeColor="text1"/>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vAlign w:val="center"/>
          </w:tcPr>
          <w:p w14:paraId="5DFD7B93">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7AE879BF">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48B740C8">
            <w:pPr>
              <w:pStyle w:val="95"/>
              <w:rPr>
                <w:rFonts w:hint="eastAsia"/>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90B83F6">
            <w:pPr>
              <w:pStyle w:val="95"/>
              <w:rPr>
                <w:rFonts w:hint="eastAsia"/>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5CC1F1EF">
            <w:pPr>
              <w:pStyle w:val="95"/>
              <w:rPr>
                <w:rFonts w:hint="eastAsia"/>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2CA6BF03">
            <w:pPr>
              <w:pStyle w:val="95"/>
              <w:rPr>
                <w:rFonts w:hint="eastAsia"/>
                <w:color w:val="000000" w:themeColor="text1"/>
                <w14:textFill>
                  <w14:solidFill>
                    <w14:schemeClr w14:val="tx1"/>
                  </w14:solidFill>
                </w14:textFill>
              </w:rPr>
            </w:pPr>
          </w:p>
        </w:tc>
      </w:tr>
      <w:tr w14:paraId="5298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0B4FB974">
            <w:pPr>
              <w:pStyle w:val="95"/>
              <w:numPr>
                <w:ilvl w:val="0"/>
                <w:numId w:val="36"/>
              </w:numPr>
              <w:ind w:left="0"/>
              <w:rPr>
                <w:rFonts w:hint="eastAsia"/>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15FCB123">
            <w:pPr>
              <w:pStyle w:val="95"/>
              <w:rPr>
                <w:rFonts w:hint="eastAsia"/>
                <w:color w:val="000000" w:themeColor="text1"/>
                <w14:textFill>
                  <w14:solidFill>
                    <w14:schemeClr w14:val="tx1"/>
                  </w14:solidFill>
                </w14:textFill>
              </w:rPr>
            </w:pPr>
          </w:p>
        </w:tc>
        <w:tc>
          <w:tcPr>
            <w:tcW w:w="1186" w:type="dxa"/>
            <w:tcBorders>
              <w:top w:val="single" w:color="auto" w:sz="4" w:space="0"/>
              <w:left w:val="single" w:color="auto" w:sz="4" w:space="0"/>
              <w:bottom w:val="single" w:color="auto" w:sz="4" w:space="0"/>
              <w:right w:val="single" w:color="auto" w:sz="4" w:space="0"/>
            </w:tcBorders>
            <w:vAlign w:val="center"/>
          </w:tcPr>
          <w:p w14:paraId="43D58E42">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6C3B711D">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4665326C">
            <w:pPr>
              <w:pStyle w:val="95"/>
              <w:rPr>
                <w:rFonts w:hint="eastAsia"/>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2AA8A17">
            <w:pPr>
              <w:pStyle w:val="95"/>
              <w:rPr>
                <w:rFonts w:hint="eastAsia"/>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325AFC3E">
            <w:pPr>
              <w:pStyle w:val="95"/>
              <w:rPr>
                <w:rFonts w:hint="eastAsia"/>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6D6F6A6F">
            <w:pPr>
              <w:pStyle w:val="95"/>
              <w:rPr>
                <w:rFonts w:hint="eastAsia"/>
                <w:color w:val="000000" w:themeColor="text1"/>
                <w14:textFill>
                  <w14:solidFill>
                    <w14:schemeClr w14:val="tx1"/>
                  </w14:solidFill>
                </w14:textFill>
              </w:rPr>
            </w:pPr>
          </w:p>
        </w:tc>
      </w:tr>
      <w:tr w14:paraId="61BF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AAB3F52">
            <w:pPr>
              <w:pStyle w:val="95"/>
              <w:numPr>
                <w:ilvl w:val="0"/>
                <w:numId w:val="36"/>
              </w:numPr>
              <w:ind w:left="0"/>
              <w:rPr>
                <w:rFonts w:hint="eastAsia"/>
                <w:color w:val="000000" w:themeColor="text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tcPr>
          <w:p w14:paraId="1FB4C052">
            <w:pPr>
              <w:pStyle w:val="95"/>
              <w:rPr>
                <w:rFonts w:hint="eastAsia"/>
                <w:color w:val="000000" w:themeColor="text1"/>
                <w14:textFill>
                  <w14:solidFill>
                    <w14:schemeClr w14:val="tx1"/>
                  </w14:solidFill>
                </w14:textFill>
              </w:rPr>
            </w:pPr>
            <w:r>
              <w:rPr>
                <w:color w:val="000000" w:themeColor="text1"/>
                <w14:textFill>
                  <w14:solidFill>
                    <w14:schemeClr w14:val="tx1"/>
                  </w14:solidFill>
                </w14:textFill>
              </w:rPr>
              <w:t>……</w:t>
            </w:r>
          </w:p>
        </w:tc>
        <w:tc>
          <w:tcPr>
            <w:tcW w:w="1186" w:type="dxa"/>
            <w:tcBorders>
              <w:top w:val="single" w:color="auto" w:sz="4" w:space="0"/>
              <w:left w:val="single" w:color="auto" w:sz="4" w:space="0"/>
              <w:bottom w:val="single" w:color="auto" w:sz="4" w:space="0"/>
              <w:right w:val="single" w:color="auto" w:sz="4" w:space="0"/>
            </w:tcBorders>
            <w:vAlign w:val="center"/>
          </w:tcPr>
          <w:p w14:paraId="62D3D75A">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495F1674">
            <w:pPr>
              <w:pStyle w:val="95"/>
              <w:rPr>
                <w:rFonts w:hint="eastAsia"/>
                <w:color w:val="000000" w:themeColor="text1"/>
                <w14:textFill>
                  <w14:solidFill>
                    <w14:schemeClr w14:val="tx1"/>
                  </w14:solidFill>
                </w14:textFill>
              </w:rPr>
            </w:pPr>
          </w:p>
        </w:tc>
        <w:tc>
          <w:tcPr>
            <w:tcW w:w="848" w:type="dxa"/>
            <w:tcBorders>
              <w:top w:val="single" w:color="auto" w:sz="4" w:space="0"/>
              <w:left w:val="single" w:color="auto" w:sz="4" w:space="0"/>
              <w:bottom w:val="single" w:color="auto" w:sz="4" w:space="0"/>
              <w:right w:val="single" w:color="auto" w:sz="4" w:space="0"/>
            </w:tcBorders>
            <w:vAlign w:val="center"/>
          </w:tcPr>
          <w:p w14:paraId="4C41DB95">
            <w:pPr>
              <w:pStyle w:val="95"/>
              <w:rPr>
                <w:rFonts w:hint="eastAsia"/>
                <w:color w:val="000000" w:themeColor="text1"/>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49F7ED92">
            <w:pPr>
              <w:pStyle w:val="95"/>
              <w:rPr>
                <w:rFonts w:hint="eastAsia"/>
                <w:color w:val="000000" w:themeColor="text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14:paraId="48A46D98">
            <w:pPr>
              <w:pStyle w:val="95"/>
              <w:rPr>
                <w:rFonts w:hint="eastAsia"/>
                <w:color w:val="000000" w:themeColor="text1"/>
                <w14:textFill>
                  <w14:solidFill>
                    <w14:schemeClr w14:val="tx1"/>
                  </w14:solidFill>
                </w14:textFill>
              </w:rPr>
            </w:pPr>
          </w:p>
        </w:tc>
        <w:tc>
          <w:tcPr>
            <w:tcW w:w="1165" w:type="dxa"/>
            <w:tcBorders>
              <w:top w:val="single" w:color="auto" w:sz="4" w:space="0"/>
              <w:left w:val="single" w:color="auto" w:sz="4" w:space="0"/>
              <w:bottom w:val="single" w:color="auto" w:sz="4" w:space="0"/>
              <w:right w:val="single" w:color="auto" w:sz="4" w:space="0"/>
            </w:tcBorders>
            <w:vAlign w:val="center"/>
          </w:tcPr>
          <w:p w14:paraId="378AE9F1">
            <w:pPr>
              <w:pStyle w:val="95"/>
              <w:rPr>
                <w:rFonts w:hint="eastAsia"/>
                <w:color w:val="000000" w:themeColor="text1"/>
                <w14:textFill>
                  <w14:solidFill>
                    <w14:schemeClr w14:val="tx1"/>
                  </w14:solidFill>
                </w14:textFill>
              </w:rPr>
            </w:pPr>
          </w:p>
        </w:tc>
      </w:tr>
    </w:tbl>
    <w:p w14:paraId="7D0B570F">
      <w:pPr>
        <w:spacing w:line="300" w:lineRule="auto"/>
        <w:rPr>
          <w:rFonts w:ascii="Arial" w:hAnsi="Arial" w:cs="Arial"/>
          <w:color w:val="000000" w:themeColor="text1"/>
          <w:szCs w:val="21"/>
          <w14:textFill>
            <w14:solidFill>
              <w14:schemeClr w14:val="tx1"/>
            </w14:solidFill>
          </w14:textFill>
        </w:rPr>
      </w:pPr>
    </w:p>
    <w:p w14:paraId="394F6E96">
      <w:pPr>
        <w:rPr>
          <w:rFonts w:ascii="Arial" w:hAnsi="Arial" w:cs="Arial"/>
          <w:b/>
          <w:color w:val="000000" w:themeColor="text1"/>
          <w:szCs w:val="21"/>
          <w14:textFill>
            <w14:solidFill>
              <w14:schemeClr w14:val="tx1"/>
            </w14:solidFill>
          </w14:textFill>
        </w:rPr>
      </w:pPr>
      <w:r>
        <w:rPr>
          <w:rFonts w:hint="eastAsia" w:ascii="Arial" w:hAnsi="Arial" w:cs="Arial"/>
          <w:b/>
          <w:color w:val="000000" w:themeColor="text1"/>
          <w:szCs w:val="21"/>
          <w14:textFill>
            <w14:solidFill>
              <w14:schemeClr w14:val="tx1"/>
            </w14:solidFill>
          </w14:textFill>
        </w:rPr>
        <w:t>特别说明：投标人应将所投产品中节能、环保产品分别列入上表中，并按本招标文件第二章第</w:t>
      </w:r>
      <w:r>
        <w:rPr>
          <w:rFonts w:ascii="Arial" w:hAnsi="Arial" w:cs="Arial"/>
          <w:b/>
          <w:color w:val="000000" w:themeColor="text1"/>
          <w:szCs w:val="21"/>
          <w14:textFill>
            <w14:solidFill>
              <w14:schemeClr w14:val="tx1"/>
            </w14:solidFill>
          </w14:textFill>
        </w:rPr>
        <w:t>44</w:t>
      </w:r>
      <w:r>
        <w:rPr>
          <w:rFonts w:hint="eastAsia" w:ascii="Arial" w:hAnsi="Arial" w:cs="Arial"/>
          <w:b/>
          <w:color w:val="000000" w:themeColor="text1"/>
          <w:szCs w:val="21"/>
          <w14:textFill>
            <w14:solidFill>
              <w14:schemeClr w14:val="tx1"/>
            </w14:solidFill>
          </w14:textFill>
        </w:rPr>
        <w:t>条提供相关证明材料，未填写本表或未提供有效认证证书</w:t>
      </w:r>
      <w:r>
        <w:rPr>
          <w:rFonts w:ascii="Arial" w:hAnsi="Arial" w:cs="Arial"/>
          <w:b/>
          <w:color w:val="000000" w:themeColor="text1"/>
          <w:szCs w:val="21"/>
          <w14:textFill>
            <w14:solidFill>
              <w14:schemeClr w14:val="tx1"/>
            </w14:solidFill>
          </w14:textFill>
        </w:rPr>
        <w:t>的</w:t>
      </w:r>
      <w:r>
        <w:rPr>
          <w:rFonts w:hint="eastAsia" w:ascii="Arial" w:hAnsi="Arial" w:cs="Arial"/>
          <w:b/>
          <w:color w:val="000000" w:themeColor="text1"/>
          <w:szCs w:val="21"/>
          <w14:textFill>
            <w14:solidFill>
              <w14:schemeClr w14:val="tx1"/>
            </w14:solidFill>
          </w14:textFill>
        </w:rPr>
        <w:t>不给予</w:t>
      </w:r>
      <w:r>
        <w:rPr>
          <w:rFonts w:ascii="Arial" w:hAnsi="Arial" w:cs="Arial"/>
          <w:b/>
          <w:color w:val="000000" w:themeColor="text1"/>
          <w:szCs w:val="21"/>
          <w14:textFill>
            <w14:solidFill>
              <w14:schemeClr w14:val="tx1"/>
            </w14:solidFill>
          </w14:textFill>
        </w:rPr>
        <w:t>价格扣除</w:t>
      </w:r>
      <w:r>
        <w:rPr>
          <w:rFonts w:hint="eastAsia" w:ascii="Arial" w:hAnsi="Arial" w:cs="Arial"/>
          <w:b/>
          <w:color w:val="000000" w:themeColor="text1"/>
          <w:szCs w:val="21"/>
          <w14:textFill>
            <w14:solidFill>
              <w14:schemeClr w14:val="tx1"/>
            </w14:solidFill>
          </w14:textFill>
        </w:rPr>
        <w:t>。</w:t>
      </w:r>
    </w:p>
    <w:p w14:paraId="6F5D7C2A">
      <w:pPr>
        <w:spacing w:line="300" w:lineRule="auto"/>
        <w:rPr>
          <w:rFonts w:ascii="Arial" w:hAnsi="Arial" w:cs="Arial"/>
          <w:color w:val="000000" w:themeColor="text1"/>
          <w:szCs w:val="21"/>
          <w14:textFill>
            <w14:solidFill>
              <w14:schemeClr w14:val="tx1"/>
            </w14:solidFill>
          </w14:textFill>
        </w:rPr>
      </w:pPr>
    </w:p>
    <w:p w14:paraId="54B58239">
      <w:pPr>
        <w:spacing w:line="30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投标人名称：</w:t>
      </w:r>
    </w:p>
    <w:p w14:paraId="13ADA60B">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日期：</w:t>
      </w:r>
    </w:p>
    <w:p w14:paraId="73B495A6">
      <w:pP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br w:type="page"/>
      </w:r>
    </w:p>
    <w:p w14:paraId="27EDEC43">
      <w:pPr>
        <w:pStyle w:val="6"/>
        <w:numPr>
          <w:ilvl w:val="0"/>
          <w:numId w:val="34"/>
        </w:numPr>
        <w:spacing w:before="0" w:after="0"/>
        <w:ind w:left="0"/>
        <w:rPr>
          <w:rFonts w:hint="eastAsia"/>
          <w:color w:val="000000" w:themeColor="text1"/>
          <w14:textFill>
            <w14:solidFill>
              <w14:schemeClr w14:val="tx1"/>
            </w14:solidFill>
          </w14:textFill>
        </w:rPr>
      </w:pPr>
      <w:bookmarkStart w:id="521" w:name="_Toc10539"/>
      <w:bookmarkStart w:id="522" w:name="_Toc28213"/>
      <w:r>
        <w:rPr>
          <w:rFonts w:hint="eastAsia"/>
          <w:color w:val="000000" w:themeColor="text1"/>
          <w14:textFill>
            <w14:solidFill>
              <w14:schemeClr w14:val="tx1"/>
            </w14:solidFill>
          </w14:textFill>
        </w:rPr>
        <w:t>中小企业声明函【如适用】</w:t>
      </w:r>
      <w:bookmarkEnd w:id="521"/>
      <w:bookmarkEnd w:id="522"/>
    </w:p>
    <w:p w14:paraId="4CBE7A40">
      <w:pPr>
        <w:pStyle w:val="92"/>
        <w:numPr>
          <w:ilvl w:val="0"/>
          <w:numId w:val="37"/>
        </w:numPr>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中小企业声明函（货物）</w:t>
      </w:r>
    </w:p>
    <w:p w14:paraId="0356D713">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841C99E">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1.</w:t>
      </w:r>
      <w:r>
        <w:rPr>
          <w:rFonts w:hint="eastAsia" w:cs="宋体"/>
          <w:color w:val="000000" w:themeColor="text1"/>
          <w:spacing w:val="6"/>
          <w:szCs w:val="24"/>
          <w:u w:val="single"/>
          <w14:textFill>
            <w14:solidFill>
              <w14:schemeClr w14:val="tx1"/>
            </w14:solidFill>
          </w14:textFill>
        </w:rPr>
        <w:t xml:space="preserve"> （标的名称） </w:t>
      </w:r>
      <w:r>
        <w:rPr>
          <w:rFonts w:hint="eastAsia" w:cs="宋体"/>
          <w:color w:val="000000" w:themeColor="text1"/>
          <w:spacing w:val="6"/>
          <w:szCs w:val="24"/>
          <w14:textFill>
            <w14:solidFill>
              <w14:schemeClr w14:val="tx1"/>
            </w14:solidFill>
          </w14:textFill>
        </w:rPr>
        <w:t>，属于</w:t>
      </w:r>
      <w:r>
        <w:rPr>
          <w:rFonts w:hint="eastAsia" w:cs="宋体"/>
          <w:color w:val="000000" w:themeColor="text1"/>
          <w:spacing w:val="6"/>
          <w:szCs w:val="24"/>
          <w:u w:val="single"/>
          <w14:textFill>
            <w14:solidFill>
              <w14:schemeClr w14:val="tx1"/>
            </w14:solidFill>
          </w14:textFill>
        </w:rPr>
        <w:t xml:space="preserve"> （采购文件中明确的所属行业）</w:t>
      </w:r>
      <w:r>
        <w:rPr>
          <w:rFonts w:hint="eastAsia" w:cs="宋体"/>
          <w:color w:val="000000" w:themeColor="text1"/>
          <w:spacing w:val="6"/>
          <w:szCs w:val="24"/>
          <w14:textFill>
            <w14:solidFill>
              <w14:schemeClr w14:val="tx1"/>
            </w14:solidFill>
          </w14:textFill>
        </w:rPr>
        <w:t>行业 ；制造商为</w:t>
      </w:r>
      <w:r>
        <w:rPr>
          <w:rFonts w:hint="eastAsia" w:cs="宋体"/>
          <w:color w:val="000000" w:themeColor="text1"/>
          <w:spacing w:val="6"/>
          <w:szCs w:val="24"/>
          <w:u w:val="single"/>
          <w14:textFill>
            <w14:solidFill>
              <w14:schemeClr w14:val="tx1"/>
            </w14:solidFill>
          </w14:textFill>
        </w:rPr>
        <w:t xml:space="preserve"> （企业名称） </w:t>
      </w:r>
      <w:r>
        <w:rPr>
          <w:rFonts w:hint="eastAsia" w:cs="宋体"/>
          <w:color w:val="000000" w:themeColor="text1"/>
          <w:spacing w:val="6"/>
          <w:szCs w:val="24"/>
          <w14:textFill>
            <w14:solidFill>
              <w14:schemeClr w14:val="tx1"/>
            </w14:solidFill>
          </w14:textFill>
        </w:rPr>
        <w:t>，从业人员人，营业收入为万元，资产总额为万元，属于</w:t>
      </w:r>
      <w:r>
        <w:rPr>
          <w:rFonts w:hint="eastAsia" w:cs="宋体"/>
          <w:color w:val="000000" w:themeColor="text1"/>
          <w:spacing w:val="6"/>
          <w:szCs w:val="24"/>
          <w:u w:val="single"/>
          <w14:textFill>
            <w14:solidFill>
              <w14:schemeClr w14:val="tx1"/>
            </w14:solidFill>
          </w14:textFill>
        </w:rPr>
        <w:t xml:space="preserve"> （中型企业、小型企业、微型企业）</w:t>
      </w:r>
      <w:r>
        <w:rPr>
          <w:rFonts w:hint="eastAsia" w:cs="宋体"/>
          <w:color w:val="000000" w:themeColor="text1"/>
          <w:spacing w:val="6"/>
          <w:szCs w:val="24"/>
          <w14:textFill>
            <w14:solidFill>
              <w14:schemeClr w14:val="tx1"/>
            </w14:solidFill>
          </w14:textFill>
        </w:rPr>
        <w:t>；</w:t>
      </w:r>
    </w:p>
    <w:p w14:paraId="72B511CC">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2.</w:t>
      </w:r>
      <w:r>
        <w:rPr>
          <w:rFonts w:hint="eastAsia" w:cs="宋体"/>
          <w:color w:val="000000" w:themeColor="text1"/>
          <w:spacing w:val="6"/>
          <w:szCs w:val="24"/>
          <w:u w:val="single"/>
          <w14:textFill>
            <w14:solidFill>
              <w14:schemeClr w14:val="tx1"/>
            </w14:solidFill>
          </w14:textFill>
        </w:rPr>
        <w:t xml:space="preserve"> （标的名称） </w:t>
      </w:r>
      <w:r>
        <w:rPr>
          <w:rFonts w:hint="eastAsia" w:cs="宋体"/>
          <w:color w:val="000000" w:themeColor="text1"/>
          <w:spacing w:val="6"/>
          <w:szCs w:val="24"/>
          <w14:textFill>
            <w14:solidFill>
              <w14:schemeClr w14:val="tx1"/>
            </w14:solidFill>
          </w14:textFill>
        </w:rPr>
        <w:t>，属于</w:t>
      </w:r>
      <w:r>
        <w:rPr>
          <w:rFonts w:hint="eastAsia" w:cs="宋体"/>
          <w:color w:val="000000" w:themeColor="text1"/>
          <w:spacing w:val="6"/>
          <w:szCs w:val="24"/>
          <w:u w:val="single"/>
          <w14:textFill>
            <w14:solidFill>
              <w14:schemeClr w14:val="tx1"/>
            </w14:solidFill>
          </w14:textFill>
        </w:rPr>
        <w:t xml:space="preserve"> （采购文件中明确的所属行业）</w:t>
      </w:r>
      <w:r>
        <w:rPr>
          <w:rFonts w:hint="eastAsia" w:cs="宋体"/>
          <w:color w:val="000000" w:themeColor="text1"/>
          <w:spacing w:val="6"/>
          <w:szCs w:val="24"/>
          <w14:textFill>
            <w14:solidFill>
              <w14:schemeClr w14:val="tx1"/>
            </w14:solidFill>
          </w14:textFill>
        </w:rPr>
        <w:t>行业 ；制造商为</w:t>
      </w:r>
      <w:r>
        <w:rPr>
          <w:rFonts w:hint="eastAsia" w:cs="宋体"/>
          <w:color w:val="000000" w:themeColor="text1"/>
          <w:spacing w:val="6"/>
          <w:szCs w:val="24"/>
          <w:u w:val="single"/>
          <w14:textFill>
            <w14:solidFill>
              <w14:schemeClr w14:val="tx1"/>
            </w14:solidFill>
          </w14:textFill>
        </w:rPr>
        <w:t xml:space="preserve"> （企业名称） </w:t>
      </w:r>
      <w:r>
        <w:rPr>
          <w:rFonts w:hint="eastAsia" w:cs="宋体"/>
          <w:color w:val="000000" w:themeColor="text1"/>
          <w:spacing w:val="6"/>
          <w:szCs w:val="24"/>
          <w14:textFill>
            <w14:solidFill>
              <w14:schemeClr w14:val="tx1"/>
            </w14:solidFill>
          </w14:textFill>
        </w:rPr>
        <w:t>，从业人员人，营业收入为万元，资产总额为万元，属于</w:t>
      </w:r>
      <w:r>
        <w:rPr>
          <w:rFonts w:hint="eastAsia" w:cs="宋体"/>
          <w:color w:val="000000" w:themeColor="text1"/>
          <w:spacing w:val="6"/>
          <w:szCs w:val="24"/>
          <w:u w:val="single"/>
          <w14:textFill>
            <w14:solidFill>
              <w14:schemeClr w14:val="tx1"/>
            </w14:solidFill>
          </w14:textFill>
        </w:rPr>
        <w:t xml:space="preserve"> （中型企业、小型企业、微型企业）</w:t>
      </w:r>
      <w:r>
        <w:rPr>
          <w:rFonts w:hint="eastAsia" w:cs="宋体"/>
          <w:color w:val="000000" w:themeColor="text1"/>
          <w:spacing w:val="6"/>
          <w:szCs w:val="24"/>
          <w14:textFill>
            <w14:solidFill>
              <w14:schemeClr w14:val="tx1"/>
            </w14:solidFill>
          </w14:textFill>
        </w:rPr>
        <w:t>；</w:t>
      </w:r>
    </w:p>
    <w:p w14:paraId="03A0596B">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w:t>
      </w:r>
    </w:p>
    <w:p w14:paraId="0F127CD6">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以上企业，不属于大企业的分支机构，不存在控股股东为大企业的情形，也不存在与大企业的负责人为同一人的情形。</w:t>
      </w:r>
    </w:p>
    <w:p w14:paraId="6975B4DD">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本企业对上述声明内容的真实性负责。如有虚假，将依法承担相应责任。</w:t>
      </w:r>
    </w:p>
    <w:p w14:paraId="6FD7F512">
      <w:pPr>
        <w:ind w:firstLine="4788" w:firstLineChars="1900"/>
        <w:rPr>
          <w:rFonts w:hint="eastAsia" w:cs="宋体"/>
          <w:color w:val="000000" w:themeColor="text1"/>
          <w:spacing w:val="6"/>
          <w:szCs w:val="24"/>
          <w14:textFill>
            <w14:solidFill>
              <w14:schemeClr w14:val="tx1"/>
            </w14:solidFill>
          </w14:textFill>
        </w:rPr>
      </w:pPr>
    </w:p>
    <w:p w14:paraId="345B654D">
      <w:pPr>
        <w:ind w:firstLine="4788" w:firstLineChars="19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企业名称：</w:t>
      </w:r>
    </w:p>
    <w:p w14:paraId="78DD6C1A">
      <w:pPr>
        <w:ind w:firstLine="4788" w:firstLineChars="19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日 期：</w:t>
      </w:r>
    </w:p>
    <w:p w14:paraId="23BC165E">
      <w:pPr>
        <w:ind w:firstLine="504" w:firstLineChars="200"/>
        <w:rPr>
          <w:rFonts w:hint="eastAsia" w:cs="宋体"/>
          <w:color w:val="000000" w:themeColor="text1"/>
          <w:spacing w:val="6"/>
          <w:szCs w:val="24"/>
          <w14:textFill>
            <w14:solidFill>
              <w14:schemeClr w14:val="tx1"/>
            </w14:solidFill>
          </w14:textFill>
        </w:rPr>
      </w:pPr>
    </w:p>
    <w:p w14:paraId="572BB0A6">
      <w:pPr>
        <w:rPr>
          <w:rFonts w:hint="eastAsia" w:cs="宋体"/>
          <w:color w:val="000000" w:themeColor="text1"/>
          <w:spacing w:val="6"/>
          <w:sz w:val="21"/>
          <w:szCs w:val="21"/>
          <w14:textFill>
            <w14:solidFill>
              <w14:schemeClr w14:val="tx1"/>
            </w14:solidFill>
          </w14:textFill>
        </w:rPr>
      </w:pPr>
      <w:r>
        <w:rPr>
          <w:rFonts w:hint="eastAsia" w:cs="宋体"/>
          <w:b/>
          <w:bCs/>
          <w:color w:val="000000" w:themeColor="text1"/>
          <w:spacing w:val="6"/>
          <w:sz w:val="21"/>
          <w:szCs w:val="21"/>
          <w14:textFill>
            <w14:solidFill>
              <w14:schemeClr w14:val="tx1"/>
            </w14:solidFill>
          </w14:textFill>
        </w:rPr>
        <w:t>说明：</w:t>
      </w:r>
      <w:r>
        <w:rPr>
          <w:rFonts w:hint="eastAsia" w:cs="宋体"/>
          <w:color w:val="000000" w:themeColor="text1"/>
          <w:spacing w:val="6"/>
          <w:sz w:val="21"/>
          <w:szCs w:val="21"/>
          <w14:textFill>
            <w14:solidFill>
              <w14:schemeClr w14:val="tx1"/>
            </w14:solidFill>
          </w14:textFill>
        </w:rPr>
        <w:t>从业人员、营业收入、资产总额填报上一年度数据，无上一年度数据的新成立企业可不填报。</w:t>
      </w:r>
    </w:p>
    <w:p w14:paraId="554DB9E0">
      <w:pPr>
        <w:rPr>
          <w:rFonts w:hint="eastAsia" w:cs="宋体"/>
          <w:color w:val="000000" w:themeColor="text1"/>
          <w:spacing w:val="6"/>
          <w:sz w:val="21"/>
          <w:szCs w:val="21"/>
          <w14:textFill>
            <w14:solidFill>
              <w14:schemeClr w14:val="tx1"/>
            </w14:solidFill>
          </w14:textFill>
        </w:rPr>
      </w:pPr>
      <w:r>
        <w:rPr>
          <w:rFonts w:cs="宋体"/>
          <w:color w:val="000000" w:themeColor="text1"/>
          <w:spacing w:val="6"/>
          <w:sz w:val="21"/>
          <w:szCs w:val="21"/>
          <w14:textFill>
            <w14:solidFill>
              <w14:schemeClr w14:val="tx1"/>
            </w14:solidFill>
          </w14:textFill>
        </w:rPr>
        <w:br w:type="page"/>
      </w:r>
    </w:p>
    <w:p w14:paraId="53ECCDBC">
      <w:pPr>
        <w:pStyle w:val="92"/>
        <w:numPr>
          <w:ilvl w:val="0"/>
          <w:numId w:val="37"/>
        </w:numPr>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中小企业声明函（服务）</w:t>
      </w:r>
    </w:p>
    <w:p w14:paraId="68FCDFEA">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2A9AEB77">
      <w:pPr>
        <w:ind w:firstLine="504" w:firstLineChars="200"/>
        <w:rPr>
          <w:rFonts w:hint="eastAsia" w:cs="宋体"/>
          <w:color w:val="000000" w:themeColor="text1"/>
          <w:spacing w:val="6"/>
          <w:szCs w:val="24"/>
          <w:u w:val="single"/>
          <w14:textFill>
            <w14:solidFill>
              <w14:schemeClr w14:val="tx1"/>
            </w14:solidFill>
          </w14:textFill>
        </w:rPr>
      </w:pPr>
      <w:r>
        <w:rPr>
          <w:rFonts w:hint="eastAsia" w:cs="宋体"/>
          <w:color w:val="000000" w:themeColor="text1"/>
          <w:spacing w:val="6"/>
          <w:szCs w:val="24"/>
          <w14:textFill>
            <w14:solidFill>
              <w14:schemeClr w14:val="tx1"/>
            </w14:solidFill>
          </w14:textFill>
        </w:rPr>
        <w:t>1.</w:t>
      </w:r>
      <w:r>
        <w:rPr>
          <w:rFonts w:hint="eastAsia" w:cs="宋体"/>
          <w:color w:val="000000" w:themeColor="text1"/>
          <w:spacing w:val="6"/>
          <w:szCs w:val="24"/>
          <w:u w:val="single"/>
          <w14:textFill>
            <w14:solidFill>
              <w14:schemeClr w14:val="tx1"/>
            </w14:solidFill>
          </w14:textFill>
        </w:rPr>
        <w:t xml:space="preserve"> （标的名称） </w:t>
      </w:r>
      <w:r>
        <w:rPr>
          <w:rFonts w:hint="eastAsia" w:cs="宋体"/>
          <w:color w:val="000000" w:themeColor="text1"/>
          <w:spacing w:val="6"/>
          <w:szCs w:val="24"/>
          <w14:textFill>
            <w14:solidFill>
              <w14:schemeClr w14:val="tx1"/>
            </w14:solidFill>
          </w14:textFill>
        </w:rPr>
        <w:t>，属于</w:t>
      </w:r>
      <w:r>
        <w:rPr>
          <w:rFonts w:hint="eastAsia" w:cs="宋体"/>
          <w:color w:val="000000" w:themeColor="text1"/>
          <w:spacing w:val="6"/>
          <w:szCs w:val="24"/>
          <w:u w:val="single"/>
          <w14:textFill>
            <w14:solidFill>
              <w14:schemeClr w14:val="tx1"/>
            </w14:solidFill>
          </w14:textFill>
        </w:rPr>
        <w:t xml:space="preserve"> （采购文件中明确的所属行业） </w:t>
      </w:r>
      <w:r>
        <w:rPr>
          <w:rFonts w:hint="eastAsia" w:cs="宋体"/>
          <w:color w:val="000000" w:themeColor="text1"/>
          <w:spacing w:val="6"/>
          <w:szCs w:val="24"/>
          <w14:textFill>
            <w14:solidFill>
              <w14:schemeClr w14:val="tx1"/>
            </w14:solidFill>
          </w14:textFill>
        </w:rPr>
        <w:t>；承建（承接）企业为</w:t>
      </w:r>
      <w:r>
        <w:rPr>
          <w:rFonts w:hint="eastAsia" w:cs="宋体"/>
          <w:color w:val="000000" w:themeColor="text1"/>
          <w:spacing w:val="6"/>
          <w:szCs w:val="24"/>
          <w:u w:val="single"/>
          <w14:textFill>
            <w14:solidFill>
              <w14:schemeClr w14:val="tx1"/>
            </w14:solidFill>
          </w14:textFill>
        </w:rPr>
        <w:t xml:space="preserve"> （企业名称）  </w:t>
      </w:r>
      <w:r>
        <w:rPr>
          <w:rFonts w:hint="eastAsia" w:cs="宋体"/>
          <w:color w:val="000000" w:themeColor="text1"/>
          <w:spacing w:val="6"/>
          <w:szCs w:val="24"/>
          <w14:textFill>
            <w14:solidFill>
              <w14:schemeClr w14:val="tx1"/>
            </w14:solidFill>
          </w14:textFill>
        </w:rPr>
        <w:t>，从业人员人，营业收入为万元，资产总额为万元，属于</w:t>
      </w:r>
      <w:r>
        <w:rPr>
          <w:rFonts w:hint="eastAsia" w:cs="宋体"/>
          <w:color w:val="000000" w:themeColor="text1"/>
          <w:spacing w:val="6"/>
          <w:szCs w:val="24"/>
          <w:u w:val="single"/>
          <w14:textFill>
            <w14:solidFill>
              <w14:schemeClr w14:val="tx1"/>
            </w14:solidFill>
          </w14:textFill>
        </w:rPr>
        <w:t>（中型企业、小型企业、微型企业）</w:t>
      </w:r>
      <w:r>
        <w:rPr>
          <w:rFonts w:hint="eastAsia" w:cs="宋体"/>
          <w:color w:val="000000" w:themeColor="text1"/>
          <w:spacing w:val="6"/>
          <w:szCs w:val="24"/>
          <w14:textFill>
            <w14:solidFill>
              <w14:schemeClr w14:val="tx1"/>
            </w14:solidFill>
          </w14:textFill>
        </w:rPr>
        <w:t>；</w:t>
      </w:r>
    </w:p>
    <w:p w14:paraId="04811581">
      <w:pPr>
        <w:ind w:firstLine="504" w:firstLineChars="200"/>
        <w:rPr>
          <w:rFonts w:hint="eastAsia" w:cs="宋体"/>
          <w:color w:val="000000" w:themeColor="text1"/>
          <w:spacing w:val="6"/>
          <w:szCs w:val="24"/>
          <w:u w:val="single"/>
          <w14:textFill>
            <w14:solidFill>
              <w14:schemeClr w14:val="tx1"/>
            </w14:solidFill>
          </w14:textFill>
        </w:rPr>
      </w:pPr>
      <w:r>
        <w:rPr>
          <w:rFonts w:hint="eastAsia" w:cs="宋体"/>
          <w:color w:val="000000" w:themeColor="text1"/>
          <w:spacing w:val="6"/>
          <w:szCs w:val="24"/>
          <w14:textFill>
            <w14:solidFill>
              <w14:schemeClr w14:val="tx1"/>
            </w14:solidFill>
          </w14:textFill>
        </w:rPr>
        <w:t>2.</w:t>
      </w:r>
      <w:r>
        <w:rPr>
          <w:rFonts w:hint="eastAsia" w:cs="宋体"/>
          <w:color w:val="000000" w:themeColor="text1"/>
          <w:spacing w:val="6"/>
          <w:szCs w:val="24"/>
          <w:u w:val="single"/>
          <w14:textFill>
            <w14:solidFill>
              <w14:schemeClr w14:val="tx1"/>
            </w14:solidFill>
          </w14:textFill>
        </w:rPr>
        <w:t xml:space="preserve"> （标的名称） </w:t>
      </w:r>
      <w:r>
        <w:rPr>
          <w:rFonts w:hint="eastAsia" w:cs="宋体"/>
          <w:color w:val="000000" w:themeColor="text1"/>
          <w:spacing w:val="6"/>
          <w:szCs w:val="24"/>
          <w14:textFill>
            <w14:solidFill>
              <w14:schemeClr w14:val="tx1"/>
            </w14:solidFill>
          </w14:textFill>
        </w:rPr>
        <w:t>，属于</w:t>
      </w:r>
      <w:r>
        <w:rPr>
          <w:rFonts w:hint="eastAsia" w:cs="宋体"/>
          <w:color w:val="000000" w:themeColor="text1"/>
          <w:spacing w:val="6"/>
          <w:szCs w:val="24"/>
          <w:u w:val="single"/>
          <w14:textFill>
            <w14:solidFill>
              <w14:schemeClr w14:val="tx1"/>
            </w14:solidFill>
          </w14:textFill>
        </w:rPr>
        <w:t xml:space="preserve"> （采购文件中明确的所属行业） </w:t>
      </w:r>
      <w:r>
        <w:rPr>
          <w:rFonts w:hint="eastAsia" w:cs="宋体"/>
          <w:color w:val="000000" w:themeColor="text1"/>
          <w:spacing w:val="6"/>
          <w:szCs w:val="24"/>
          <w14:textFill>
            <w14:solidFill>
              <w14:schemeClr w14:val="tx1"/>
            </w14:solidFill>
          </w14:textFill>
        </w:rPr>
        <w:t>；承建（承接）企业为</w:t>
      </w:r>
      <w:r>
        <w:rPr>
          <w:rFonts w:hint="eastAsia" w:cs="宋体"/>
          <w:color w:val="000000" w:themeColor="text1"/>
          <w:spacing w:val="6"/>
          <w:szCs w:val="24"/>
          <w:u w:val="single"/>
          <w14:textFill>
            <w14:solidFill>
              <w14:schemeClr w14:val="tx1"/>
            </w14:solidFill>
          </w14:textFill>
        </w:rPr>
        <w:t xml:space="preserve"> （企业名称）  </w:t>
      </w:r>
      <w:r>
        <w:rPr>
          <w:rFonts w:hint="eastAsia" w:cs="宋体"/>
          <w:color w:val="000000" w:themeColor="text1"/>
          <w:spacing w:val="6"/>
          <w:szCs w:val="24"/>
          <w14:textFill>
            <w14:solidFill>
              <w14:schemeClr w14:val="tx1"/>
            </w14:solidFill>
          </w14:textFill>
        </w:rPr>
        <w:t>，从业人员人，营业收入为万元，资产总额为万元，属于</w:t>
      </w:r>
      <w:r>
        <w:rPr>
          <w:rFonts w:hint="eastAsia" w:cs="宋体"/>
          <w:color w:val="000000" w:themeColor="text1"/>
          <w:spacing w:val="6"/>
          <w:szCs w:val="24"/>
          <w:u w:val="single"/>
          <w14:textFill>
            <w14:solidFill>
              <w14:schemeClr w14:val="tx1"/>
            </w14:solidFill>
          </w14:textFill>
        </w:rPr>
        <w:t>（中型企业、小型企业、微型企业）</w:t>
      </w:r>
      <w:r>
        <w:rPr>
          <w:rFonts w:hint="eastAsia" w:cs="宋体"/>
          <w:color w:val="000000" w:themeColor="text1"/>
          <w:spacing w:val="6"/>
          <w:szCs w:val="24"/>
          <w14:textFill>
            <w14:solidFill>
              <w14:schemeClr w14:val="tx1"/>
            </w14:solidFill>
          </w14:textFill>
        </w:rPr>
        <w:t>；</w:t>
      </w:r>
    </w:p>
    <w:p w14:paraId="2CDE7713">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w:t>
      </w:r>
    </w:p>
    <w:p w14:paraId="5660BB7C">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以上企业，不属于大企业的分支机构，不存在控股股东为大企业的情形，也不存在与大企业的负责人为同一人的情形。</w:t>
      </w:r>
    </w:p>
    <w:p w14:paraId="6034CC87">
      <w:pPr>
        <w:ind w:firstLine="504" w:firstLineChars="2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本企业对上述声明内容的真实性负责。如有虚假，将依法承担相应责任。</w:t>
      </w:r>
    </w:p>
    <w:p w14:paraId="68022AB7">
      <w:pPr>
        <w:ind w:firstLine="4788" w:firstLineChars="1900"/>
        <w:rPr>
          <w:rFonts w:hint="eastAsia" w:cs="宋体"/>
          <w:color w:val="000000" w:themeColor="text1"/>
          <w:spacing w:val="6"/>
          <w:szCs w:val="24"/>
          <w14:textFill>
            <w14:solidFill>
              <w14:schemeClr w14:val="tx1"/>
            </w14:solidFill>
          </w14:textFill>
        </w:rPr>
      </w:pPr>
    </w:p>
    <w:p w14:paraId="50AE3779">
      <w:pPr>
        <w:ind w:firstLine="4788" w:firstLineChars="19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企业名称：</w:t>
      </w:r>
    </w:p>
    <w:p w14:paraId="021F4E13">
      <w:pPr>
        <w:ind w:firstLine="4788" w:firstLineChars="1900"/>
        <w:rPr>
          <w:rFonts w:hint="eastAsia" w:cs="宋体"/>
          <w:color w:val="000000" w:themeColor="text1"/>
          <w:spacing w:val="6"/>
          <w:szCs w:val="24"/>
          <w14:textFill>
            <w14:solidFill>
              <w14:schemeClr w14:val="tx1"/>
            </w14:solidFill>
          </w14:textFill>
        </w:rPr>
      </w:pPr>
      <w:r>
        <w:rPr>
          <w:rFonts w:hint="eastAsia" w:cs="宋体"/>
          <w:color w:val="000000" w:themeColor="text1"/>
          <w:spacing w:val="6"/>
          <w:szCs w:val="24"/>
          <w14:textFill>
            <w14:solidFill>
              <w14:schemeClr w14:val="tx1"/>
            </w14:solidFill>
          </w14:textFill>
        </w:rPr>
        <w:t>日 期：</w:t>
      </w:r>
    </w:p>
    <w:p w14:paraId="1C174BFA">
      <w:pPr>
        <w:ind w:firstLine="504" w:firstLineChars="200"/>
        <w:rPr>
          <w:rFonts w:hint="eastAsia" w:cs="宋体"/>
          <w:color w:val="000000" w:themeColor="text1"/>
          <w:spacing w:val="6"/>
          <w:szCs w:val="24"/>
          <w14:textFill>
            <w14:solidFill>
              <w14:schemeClr w14:val="tx1"/>
            </w14:solidFill>
          </w14:textFill>
        </w:rPr>
      </w:pPr>
    </w:p>
    <w:p w14:paraId="735B91AC">
      <w:pPr>
        <w:rPr>
          <w:rFonts w:hint="eastAsia" w:cs="宋体"/>
          <w:color w:val="000000" w:themeColor="text1"/>
          <w:spacing w:val="6"/>
          <w:sz w:val="21"/>
          <w:szCs w:val="21"/>
          <w14:textFill>
            <w14:solidFill>
              <w14:schemeClr w14:val="tx1"/>
            </w14:solidFill>
          </w14:textFill>
        </w:rPr>
      </w:pPr>
      <w:r>
        <w:rPr>
          <w:rFonts w:hint="eastAsia" w:cs="宋体"/>
          <w:b/>
          <w:bCs/>
          <w:color w:val="000000" w:themeColor="text1"/>
          <w:spacing w:val="6"/>
          <w:sz w:val="21"/>
          <w:szCs w:val="21"/>
          <w14:textFill>
            <w14:solidFill>
              <w14:schemeClr w14:val="tx1"/>
            </w14:solidFill>
          </w14:textFill>
        </w:rPr>
        <w:t>说明：</w:t>
      </w:r>
      <w:r>
        <w:rPr>
          <w:rFonts w:hint="eastAsia" w:cs="宋体"/>
          <w:color w:val="000000" w:themeColor="text1"/>
          <w:spacing w:val="6"/>
          <w:sz w:val="21"/>
          <w:szCs w:val="21"/>
          <w14:textFill>
            <w14:solidFill>
              <w14:schemeClr w14:val="tx1"/>
            </w14:solidFill>
          </w14:textFill>
        </w:rPr>
        <w:t>从业人员、营业收入、资产总额填报上一年度数据，无上一年度数据的新成立企业可不填报。</w:t>
      </w:r>
    </w:p>
    <w:p w14:paraId="5EC98C1E">
      <w:pPr>
        <w:rPr>
          <w:rFonts w:hint="eastAsia" w:cs="宋体"/>
          <w:color w:val="000000" w:themeColor="text1"/>
          <w:spacing w:val="6"/>
          <w:sz w:val="21"/>
          <w:szCs w:val="21"/>
          <w14:textFill>
            <w14:solidFill>
              <w14:schemeClr w14:val="tx1"/>
            </w14:solidFill>
          </w14:textFill>
        </w:rPr>
      </w:pPr>
      <w:r>
        <w:rPr>
          <w:rFonts w:cs="宋体"/>
          <w:color w:val="000000" w:themeColor="text1"/>
          <w:spacing w:val="6"/>
          <w:sz w:val="21"/>
          <w:szCs w:val="21"/>
          <w14:textFill>
            <w14:solidFill>
              <w14:schemeClr w14:val="tx1"/>
            </w14:solidFill>
          </w14:textFill>
        </w:rPr>
        <w:br w:type="page"/>
      </w:r>
    </w:p>
    <w:p w14:paraId="6CEF3598">
      <w:pPr>
        <w:pStyle w:val="6"/>
        <w:numPr>
          <w:ilvl w:val="0"/>
          <w:numId w:val="34"/>
        </w:numPr>
        <w:spacing w:before="0" w:after="0"/>
        <w:ind w:left="0"/>
        <w:rPr>
          <w:rFonts w:hint="eastAsia"/>
          <w:color w:val="000000" w:themeColor="text1"/>
          <w14:textFill>
            <w14:solidFill>
              <w14:schemeClr w14:val="tx1"/>
            </w14:solidFill>
          </w14:textFill>
        </w:rPr>
      </w:pPr>
      <w:bookmarkStart w:id="523" w:name="_Toc6025"/>
      <w:bookmarkStart w:id="524" w:name="_Toc22198"/>
      <w:r>
        <w:rPr>
          <w:rFonts w:hint="eastAsia"/>
          <w:color w:val="000000" w:themeColor="text1"/>
          <w14:textFill>
            <w14:solidFill>
              <w14:schemeClr w14:val="tx1"/>
            </w14:solidFill>
          </w14:textFill>
        </w:rPr>
        <w:t>监狱企业证明文件【如适用】</w:t>
      </w:r>
      <w:bookmarkEnd w:id="523"/>
      <w:bookmarkEnd w:id="524"/>
    </w:p>
    <w:p w14:paraId="6D934CF3">
      <w:pPr>
        <w:rPr>
          <w:rFonts w:hint="eastAsia" w:cs="仿宋_GB2312"/>
          <w:b/>
          <w:color w:val="000000" w:themeColor="text1"/>
          <w:sz w:val="28"/>
          <w:szCs w:val="28"/>
          <w14:textFill>
            <w14:solidFill>
              <w14:schemeClr w14:val="tx1"/>
            </w14:solidFill>
          </w14:textFill>
        </w:rPr>
      </w:pPr>
    </w:p>
    <w:p w14:paraId="764E4F1B">
      <w:pPr>
        <w:adjustRightInd w:val="0"/>
        <w:snapToGrid w:val="0"/>
        <w:ind w:firstLine="420" w:firstLineChars="200"/>
        <w:rPr>
          <w:rFonts w:ascii="Arial" w:hAnsi="Arial" w:cs="Arial"/>
          <w:color w:val="000000" w:themeColor="text1"/>
          <w:sz w:val="21"/>
          <w:szCs w:val="21"/>
          <w14:textFill>
            <w14:solidFill>
              <w14:schemeClr w14:val="tx1"/>
            </w14:solidFill>
          </w14:textFill>
        </w:rPr>
      </w:pPr>
      <w:r>
        <w:rPr>
          <w:rFonts w:hint="eastAsia" w:ascii="Arial" w:hAnsi="Arial" w:cs="Arial"/>
          <w:color w:val="000000" w:themeColor="text1"/>
          <w:sz w:val="21"/>
          <w:szCs w:val="21"/>
          <w14:textFill>
            <w14:solidFill>
              <w14:schemeClr w14:val="tx1"/>
            </w14:solidFill>
          </w14:textFill>
        </w:rPr>
        <w:t>【</w:t>
      </w:r>
      <w:r>
        <w:rPr>
          <w:rFonts w:hint="eastAsia"/>
          <w:color w:val="000000" w:themeColor="text1"/>
          <w:szCs w:val="24"/>
          <w14:textFill>
            <w14:solidFill>
              <w14:schemeClr w14:val="tx1"/>
            </w14:solidFill>
          </w14:textFill>
        </w:rPr>
        <w:t>（</w:t>
      </w:r>
      <w:r>
        <w:rPr>
          <w:rFonts w:hint="eastAsia" w:ascii="楷体" w:hAnsi="楷体" w:eastAsia="楷体"/>
          <w:color w:val="000000" w:themeColor="text1"/>
          <w:szCs w:val="24"/>
          <w14:textFill>
            <w14:solidFill>
              <w14:schemeClr w14:val="tx1"/>
            </w14:solidFill>
          </w14:textFill>
        </w:rPr>
        <w:t>监狱企业应当提供由省级及以上监狱管理局、戒毒管理局（含新疆生产建设兵团）出具的监狱企业的证明文件，格式自行编写</w:t>
      </w:r>
      <w:r>
        <w:rPr>
          <w:rFonts w:hint="eastAsia"/>
          <w:color w:val="000000" w:themeColor="text1"/>
          <w:szCs w:val="24"/>
          <w14:textFill>
            <w14:solidFill>
              <w14:schemeClr w14:val="tx1"/>
            </w14:solidFill>
          </w14:textFill>
        </w:rPr>
        <w:t>）</w:t>
      </w:r>
      <w:r>
        <w:rPr>
          <w:rFonts w:hint="eastAsia" w:ascii="Arial" w:hAnsi="Arial" w:cs="Arial"/>
          <w:color w:val="000000" w:themeColor="text1"/>
          <w:sz w:val="21"/>
          <w:szCs w:val="21"/>
          <w14:textFill>
            <w14:solidFill>
              <w14:schemeClr w14:val="tx1"/>
            </w14:solidFill>
          </w14:textFill>
        </w:rPr>
        <w:t>】</w:t>
      </w:r>
      <w:r>
        <w:rPr>
          <w:rFonts w:hint="eastAsia" w:cs="Arial"/>
          <w:color w:val="000000" w:themeColor="text1"/>
          <w:sz w:val="21"/>
          <w:szCs w:val="21"/>
          <w14:textFill>
            <w14:solidFill>
              <w14:schemeClr w14:val="tx1"/>
            </w14:solidFill>
          </w14:textFill>
        </w:rPr>
        <w:t>。</w:t>
      </w:r>
    </w:p>
    <w:p w14:paraId="5EAD1C7B">
      <w:pPr>
        <w:widowControl/>
        <w:rPr>
          <w:rFonts w:ascii="Arial" w:hAnsi="Arial" w:cs="Arial"/>
          <w:color w:val="000000" w:themeColor="text1"/>
          <w:sz w:val="21"/>
          <w:szCs w:val="21"/>
          <w14:textFill>
            <w14:solidFill>
              <w14:schemeClr w14:val="tx1"/>
            </w14:solidFill>
          </w14:textFill>
        </w:rPr>
      </w:pPr>
    </w:p>
    <w:p w14:paraId="23F0E114">
      <w:pPr>
        <w:widowControl/>
        <w:rPr>
          <w:rFonts w:ascii="Arial" w:hAnsi="Arial" w:cs="Arial"/>
          <w:color w:val="000000" w:themeColor="text1"/>
          <w:sz w:val="21"/>
          <w:szCs w:val="21"/>
          <w14:textFill>
            <w14:solidFill>
              <w14:schemeClr w14:val="tx1"/>
            </w14:solidFill>
          </w14:textFill>
        </w:rPr>
      </w:pPr>
    </w:p>
    <w:p w14:paraId="439F3FFC">
      <w:pPr>
        <w:widowControl/>
        <w:rPr>
          <w:rFonts w:ascii="Arial" w:hAnsi="Arial" w:cs="Arial"/>
          <w:color w:val="000000" w:themeColor="text1"/>
          <w:sz w:val="21"/>
          <w:szCs w:val="21"/>
          <w14:textFill>
            <w14:solidFill>
              <w14:schemeClr w14:val="tx1"/>
            </w14:solidFill>
          </w14:textFill>
        </w:rPr>
      </w:pPr>
    </w:p>
    <w:p w14:paraId="522B1F4F">
      <w:pPr>
        <w:widowControl/>
        <w:rPr>
          <w:rFonts w:ascii="Arial" w:hAnsi="Arial" w:cs="Arial"/>
          <w:color w:val="000000" w:themeColor="text1"/>
          <w:sz w:val="21"/>
          <w:szCs w:val="21"/>
          <w14:textFill>
            <w14:solidFill>
              <w14:schemeClr w14:val="tx1"/>
            </w14:solidFill>
          </w14:textFill>
        </w:rPr>
      </w:pPr>
    </w:p>
    <w:p w14:paraId="2CF22200">
      <w:pPr>
        <w:widowControl/>
        <w:rPr>
          <w:rFonts w:ascii="Arial" w:hAnsi="Arial" w:cs="Arial"/>
          <w:color w:val="000000" w:themeColor="text1"/>
          <w:sz w:val="21"/>
          <w:szCs w:val="21"/>
          <w14:textFill>
            <w14:solidFill>
              <w14:schemeClr w14:val="tx1"/>
            </w14:solidFill>
          </w14:textFill>
        </w:rPr>
      </w:pPr>
    </w:p>
    <w:p w14:paraId="1719353F">
      <w:pPr>
        <w:spacing w:line="300" w:lineRule="auto"/>
        <w:rPr>
          <w:rFonts w:ascii="Arial" w:hAnsi="Arial" w:cs="Arial"/>
          <w:color w:val="000000" w:themeColor="text1"/>
          <w:sz w:val="21"/>
          <w:szCs w:val="21"/>
          <w14:textFill>
            <w14:solidFill>
              <w14:schemeClr w14:val="tx1"/>
            </w14:solidFill>
          </w14:textFill>
        </w:rPr>
      </w:pPr>
      <w:r>
        <w:rPr>
          <w:rFonts w:ascii="Arial" w:hAnsi="Arial" w:cs="Arial"/>
          <w:color w:val="000000" w:themeColor="text1"/>
          <w:sz w:val="21"/>
          <w:szCs w:val="21"/>
          <w14:textFill>
            <w14:solidFill>
              <w14:schemeClr w14:val="tx1"/>
            </w14:solidFill>
          </w14:textFill>
        </w:rPr>
        <w:t>投标人名称[盖章]：</w:t>
      </w:r>
    </w:p>
    <w:p w14:paraId="1C614569">
      <w:pPr>
        <w:widowControl/>
        <w:rPr>
          <w:rFonts w:ascii="Arial" w:hAnsi="Arial" w:cs="Arial"/>
          <w:color w:val="000000" w:themeColor="text1"/>
          <w:sz w:val="21"/>
          <w:szCs w:val="21"/>
          <w:u w:val="single"/>
          <w14:textFill>
            <w14:solidFill>
              <w14:schemeClr w14:val="tx1"/>
            </w14:solidFill>
          </w14:textFill>
        </w:rPr>
      </w:pPr>
      <w:r>
        <w:rPr>
          <w:rFonts w:ascii="Arial" w:hAnsi="Arial" w:cs="Arial"/>
          <w:color w:val="000000" w:themeColor="text1"/>
          <w:sz w:val="21"/>
          <w:szCs w:val="21"/>
          <w14:textFill>
            <w14:solidFill>
              <w14:schemeClr w14:val="tx1"/>
            </w14:solidFill>
          </w14:textFill>
        </w:rPr>
        <w:t>日期：</w:t>
      </w:r>
    </w:p>
    <w:p w14:paraId="271DA918">
      <w:pPr>
        <w:rPr>
          <w:rFonts w:hint="eastAsia" w:cs="仿宋_GB2312"/>
          <w:b/>
          <w:color w:val="000000" w:themeColor="text1"/>
          <w:sz w:val="28"/>
          <w:szCs w:val="28"/>
          <w14:textFill>
            <w14:solidFill>
              <w14:schemeClr w14:val="tx1"/>
            </w14:solidFill>
          </w14:textFill>
        </w:rPr>
      </w:pPr>
      <w:r>
        <w:rPr>
          <w:rFonts w:cs="仿宋_GB2312"/>
          <w:b/>
          <w:color w:val="000000" w:themeColor="text1"/>
          <w:sz w:val="28"/>
          <w:szCs w:val="28"/>
          <w14:textFill>
            <w14:solidFill>
              <w14:schemeClr w14:val="tx1"/>
            </w14:solidFill>
          </w14:textFill>
        </w:rPr>
        <w:br w:type="page"/>
      </w:r>
    </w:p>
    <w:p w14:paraId="631CADFB">
      <w:pPr>
        <w:pStyle w:val="6"/>
        <w:numPr>
          <w:ilvl w:val="0"/>
          <w:numId w:val="34"/>
        </w:numPr>
        <w:spacing w:before="0" w:after="0"/>
        <w:ind w:left="0"/>
        <w:rPr>
          <w:rFonts w:hint="eastAsia"/>
          <w:color w:val="000000" w:themeColor="text1"/>
          <w14:textFill>
            <w14:solidFill>
              <w14:schemeClr w14:val="tx1"/>
            </w14:solidFill>
          </w14:textFill>
        </w:rPr>
      </w:pPr>
      <w:bookmarkStart w:id="525" w:name="_Toc25107"/>
      <w:bookmarkStart w:id="526" w:name="_Toc22200"/>
      <w:r>
        <w:rPr>
          <w:color w:val="000000" w:themeColor="text1"/>
          <w14:textFill>
            <w14:solidFill>
              <w14:schemeClr w14:val="tx1"/>
            </w14:solidFill>
          </w14:textFill>
        </w:rPr>
        <w:t>残疾人福利性单位声明函</w:t>
      </w:r>
      <w:r>
        <w:rPr>
          <w:rFonts w:hint="eastAsia"/>
          <w:color w:val="000000" w:themeColor="text1"/>
          <w14:textFill>
            <w14:solidFill>
              <w14:schemeClr w14:val="tx1"/>
            </w14:solidFill>
          </w14:textFill>
        </w:rPr>
        <w:t>【如适用】</w:t>
      </w:r>
      <w:bookmarkEnd w:id="525"/>
      <w:bookmarkEnd w:id="526"/>
    </w:p>
    <w:p w14:paraId="3B5C13D4">
      <w:pPr>
        <w:pStyle w:val="92"/>
        <w:numPr>
          <w:ilvl w:val="0"/>
          <w:numId w:val="38"/>
        </w:numPr>
        <w:ind w:left="0"/>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残疾人福利性单位声明函（货物）</w:t>
      </w:r>
    </w:p>
    <w:p w14:paraId="2D39A648">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本公司（联合体）郑重声明，根据《财政部 民政部 中国残疾人联合会关于促进残疾人就业政府采购政策的通知》（财库〔2017〕141号）的规定，本公司（联合体）参加</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（单位名称）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的</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（项目名称）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采购活动，提供的货物</w:t>
      </w:r>
      <w:r>
        <w:rPr>
          <w:rFonts w:hint="eastAsia"/>
          <w:b/>
          <w:color w:val="000000" w:themeColor="text1"/>
          <w:szCs w:val="24"/>
          <w14:textFill>
            <w14:solidFill>
              <w14:schemeClr w14:val="tx1"/>
            </w14:solidFill>
          </w14:textFill>
        </w:rPr>
        <w:t>全部由</w:t>
      </w:r>
      <w:r>
        <w:rPr>
          <w:rFonts w:hint="eastAsia"/>
          <w:color w:val="000000" w:themeColor="text1"/>
          <w:szCs w:val="24"/>
          <w14:textFill>
            <w14:solidFill>
              <w14:schemeClr w14:val="tx1"/>
            </w14:solidFill>
          </w14:textFill>
        </w:rPr>
        <w:t>符合政策要求的</w:t>
      </w:r>
      <w:r>
        <w:rPr>
          <w:rFonts w:hint="eastAsia"/>
          <w:b/>
          <w:color w:val="000000" w:themeColor="text1"/>
          <w:szCs w:val="24"/>
          <w14:textFill>
            <w14:solidFill>
              <w14:schemeClr w14:val="tx1"/>
            </w14:solidFill>
          </w14:textFill>
        </w:rPr>
        <w:t>残疾人福利性单位制造</w:t>
      </w:r>
      <w:r>
        <w:rPr>
          <w:rFonts w:hint="eastAsia"/>
          <w:color w:val="000000" w:themeColor="text1"/>
          <w:szCs w:val="24"/>
          <w14:textFill>
            <w14:solidFill>
              <w14:schemeClr w14:val="tx1"/>
            </w14:solidFill>
          </w14:textFill>
        </w:rPr>
        <w:t>。相关企业（含联合体中的残疾人福利性单位、签订分包意向协议的残疾人福利性单位）的具体情况如下：</w:t>
      </w:r>
    </w:p>
    <w:p w14:paraId="3687D5F4">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（标的名称）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，制造商为 </w:t>
      </w:r>
      <w:r>
        <w:rPr>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（企业名称）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，属于残疾人福利性单位；</w:t>
      </w:r>
    </w:p>
    <w:p w14:paraId="72246B5E">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 xml:space="preserve">2. </w:t>
      </w:r>
      <w:r>
        <w:rPr>
          <w:rFonts w:hint="eastAsia"/>
          <w:i/>
          <w:color w:val="000000" w:themeColor="text1"/>
          <w:szCs w:val="24"/>
          <w:u w:val="single"/>
          <w14:textFill>
            <w14:solidFill>
              <w14:schemeClr w14:val="tx1"/>
            </w14:solidFill>
          </w14:textFill>
        </w:rPr>
        <w:t>（标的名称）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 xml:space="preserve">，制造商为 </w:t>
      </w:r>
      <w:r>
        <w:rPr>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（企业名称）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，属于残疾人福利性单位；</w:t>
      </w:r>
    </w:p>
    <w:p w14:paraId="44983947">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p>
    <w:p w14:paraId="3020B534">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3140B4D7">
      <w:pPr>
        <w:ind w:left="1087" w:leftChars="200" w:hanging="607" w:hangingChars="253"/>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本企业对上述声明内容的真实性负责。如有虚假，将依法承担相应责任。</w:t>
      </w:r>
    </w:p>
    <w:p w14:paraId="688B0D19">
      <w:pPr>
        <w:ind w:left="1091" w:hanging="1091" w:hangingChars="453"/>
        <w:rPr>
          <w:rFonts w:hint="eastAsia"/>
          <w:b/>
          <w:bCs/>
          <w:color w:val="000000" w:themeColor="text1"/>
          <w:szCs w:val="24"/>
          <w14:textFill>
            <w14:solidFill>
              <w14:schemeClr w14:val="tx1"/>
            </w14:solidFill>
          </w14:textFill>
        </w:rPr>
      </w:pPr>
    </w:p>
    <w:p w14:paraId="060170B7">
      <w:pPr>
        <w:ind w:left="1091" w:hanging="1091" w:hangingChars="453"/>
        <w:rPr>
          <w:rFonts w:hint="eastAsia"/>
          <w:bCs/>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说明：</w:t>
      </w:r>
      <w:r>
        <w:rPr>
          <w:rFonts w:hint="eastAsia"/>
          <w:bCs/>
          <w:color w:val="000000" w:themeColor="text1"/>
          <w:szCs w:val="24"/>
          <w14:textFill>
            <w14:solidFill>
              <w14:schemeClr w14:val="tx1"/>
            </w14:solidFill>
          </w14:textFill>
        </w:rPr>
        <w:t>1、</w:t>
      </w:r>
      <w:r>
        <w:rPr>
          <w:rFonts w:hint="eastAsia"/>
          <w:bCs/>
          <w:color w:val="000000" w:themeColor="text1"/>
          <w:szCs w:val="21"/>
          <w:lang w:val="zh-CN"/>
          <w14:textFill>
            <w14:solidFill>
              <w14:schemeClr w14:val="tx1"/>
            </w14:solidFill>
          </w14:textFill>
        </w:rPr>
        <w:t>货物应当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7A05671A">
      <w:pPr>
        <w:ind w:left="1087" w:hanging="1087" w:hangingChars="453"/>
        <w:rPr>
          <w:rFonts w:hint="eastAsia" w:cs="Courier New"/>
          <w:color w:val="000000" w:themeColor="text1"/>
          <w:szCs w:val="21"/>
          <w14:textFill>
            <w14:solidFill>
              <w14:schemeClr w14:val="tx1"/>
            </w14:solidFill>
          </w14:textFill>
        </w:rPr>
      </w:pPr>
      <w:r>
        <w:rPr>
          <w:rFonts w:hint="eastAsia"/>
          <w:bCs/>
          <w:color w:val="000000" w:themeColor="text1"/>
          <w:szCs w:val="21"/>
          <w:lang w:val="zh-CN"/>
          <w14:textFill>
            <w14:solidFill>
              <w14:schemeClr w14:val="tx1"/>
            </w14:solidFill>
          </w14:textFill>
        </w:rPr>
        <w:t xml:space="preserve">      2、</w:t>
      </w:r>
      <w:r>
        <w:rPr>
          <w:rFonts w:hint="eastAsia" w:cs="Courier New"/>
          <w:color w:val="000000" w:themeColor="text1"/>
          <w:szCs w:val="21"/>
          <w14:textFill>
            <w14:solidFill>
              <w14:schemeClr w14:val="tx1"/>
            </w14:solidFill>
          </w14:textFill>
        </w:rPr>
        <w:t>以联合体形式参加的，应</w:t>
      </w:r>
      <w:r>
        <w:rPr>
          <w:rFonts w:hint="eastAsia"/>
          <w:bCs/>
          <w:color w:val="000000" w:themeColor="text1"/>
          <w:szCs w:val="21"/>
          <w:lang w:val="zh-CN"/>
          <w14:textFill>
            <w14:solidFill>
              <w14:schemeClr w14:val="tx1"/>
            </w14:solidFill>
          </w14:textFill>
        </w:rPr>
        <w:t>当</w:t>
      </w:r>
      <w:r>
        <w:rPr>
          <w:rFonts w:hint="eastAsia" w:cs="Courier New"/>
          <w:color w:val="000000" w:themeColor="text1"/>
          <w:szCs w:val="21"/>
          <w14:textFill>
            <w14:solidFill>
              <w14:schemeClr w14:val="tx1"/>
            </w14:solidFill>
          </w14:textFill>
        </w:rPr>
        <w:t>由联合体各方盖章。</w:t>
      </w:r>
    </w:p>
    <w:p w14:paraId="14AF3C6F">
      <w:pPr>
        <w:ind w:firstLine="3316" w:firstLineChars="1382"/>
        <w:rPr>
          <w:rFonts w:hint="eastAsia"/>
          <w:bCs/>
          <w:color w:val="000000" w:themeColor="text1"/>
          <w:szCs w:val="21"/>
          <w:lang w:val="zh-CN"/>
          <w14:textFill>
            <w14:solidFill>
              <w14:schemeClr w14:val="tx1"/>
            </w14:solidFill>
          </w14:textFill>
        </w:rPr>
      </w:pPr>
      <w:r>
        <w:rPr>
          <w:rFonts w:hint="eastAsia"/>
          <w:bCs/>
          <w:color w:val="000000" w:themeColor="text1"/>
          <w:szCs w:val="21"/>
          <w:lang w:val="zh-CN"/>
          <w14:textFill>
            <w14:solidFill>
              <w14:schemeClr w14:val="tx1"/>
            </w14:solidFill>
          </w14:textFill>
        </w:rPr>
        <w:t>投标人：</w:t>
      </w:r>
      <w:r>
        <w:rPr>
          <w:rFonts w:hint="eastAsia"/>
          <w:bCs/>
          <w:color w:val="000000" w:themeColor="text1"/>
          <w:szCs w:val="21"/>
          <w:u w:val="single"/>
          <w:lang w:val="zh-CN"/>
          <w14:textFill>
            <w14:solidFill>
              <w14:schemeClr w14:val="tx1"/>
            </w14:solidFill>
          </w14:textFill>
        </w:rPr>
        <w:t xml:space="preserve">                         </w:t>
      </w:r>
    </w:p>
    <w:p w14:paraId="46F2A4C9">
      <w:pPr>
        <w:ind w:firstLine="3316" w:firstLineChars="1382"/>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日</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期：</w:t>
      </w:r>
      <w:r>
        <w:rPr>
          <w:bCs/>
          <w:color w:val="000000" w:themeColor="text1"/>
          <w:szCs w:val="24"/>
          <w:u w:val="single"/>
          <w14:textFill>
            <w14:solidFill>
              <w14:schemeClr w14:val="tx1"/>
            </w14:solidFill>
          </w14:textFill>
        </w:rPr>
        <w:t xml:space="preserve">                              </w:t>
      </w:r>
    </w:p>
    <w:p w14:paraId="4B33A5DD">
      <w:pPr>
        <w:ind w:firstLine="281" w:firstLineChars="100"/>
        <w:rPr>
          <w:rFonts w:hint="eastAsia" w:cs="仿宋_GB2312"/>
          <w:b/>
          <w:color w:val="000000" w:themeColor="text1"/>
          <w:sz w:val="28"/>
          <w:szCs w:val="28"/>
          <w14:textFill>
            <w14:solidFill>
              <w14:schemeClr w14:val="tx1"/>
            </w14:solidFill>
          </w14:textFill>
        </w:rPr>
      </w:pPr>
      <w:r>
        <w:rPr>
          <w:rFonts w:cs="仿宋_GB2312"/>
          <w:b/>
          <w:color w:val="000000" w:themeColor="text1"/>
          <w:sz w:val="28"/>
          <w:szCs w:val="28"/>
          <w14:textFill>
            <w14:solidFill>
              <w14:schemeClr w14:val="tx1"/>
            </w14:solidFill>
          </w14:textFill>
        </w:rPr>
        <w:br w:type="page"/>
      </w:r>
    </w:p>
    <w:p w14:paraId="1A3E7FBA">
      <w:pPr>
        <w:pStyle w:val="92"/>
        <w:numPr>
          <w:ilvl w:val="0"/>
          <w:numId w:val="38"/>
        </w:numPr>
        <w:ind w:left="0"/>
        <w:rPr>
          <w:rFonts w:hint="eastAsia"/>
          <w:color w:val="000000" w:themeColor="text1"/>
          <w14:textFill>
            <w14:solidFill>
              <w14:schemeClr w14:val="tx1"/>
            </w14:solidFill>
          </w14:textFill>
        </w:rPr>
      </w:pPr>
      <w:r>
        <w:rPr>
          <w:rFonts w:hint="eastAsia"/>
          <w:color w:val="000000" w:themeColor="text1"/>
          <w:szCs w:val="24"/>
          <w14:textFill>
            <w14:solidFill>
              <w14:schemeClr w14:val="tx1"/>
            </w14:solidFill>
          </w14:textFill>
        </w:rPr>
        <w:t>残疾人福利性单位声明函（服务）</w:t>
      </w:r>
    </w:p>
    <w:p w14:paraId="12D3F78F">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本公司（联合体）郑重声明，根据《财政部 民政部 中国残疾人联合会关于促进残疾人就业政府采购政策的通知》（财库〔2017〕141号）的规定，本公司（联合体）参加</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（单位名称）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的</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（项目名称）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采购活动，服务</w:t>
      </w:r>
      <w:r>
        <w:rPr>
          <w:rFonts w:hint="eastAsia"/>
          <w:b/>
          <w:color w:val="000000" w:themeColor="text1"/>
          <w:szCs w:val="24"/>
          <w14:textFill>
            <w14:solidFill>
              <w14:schemeClr w14:val="tx1"/>
            </w14:solidFill>
          </w14:textFill>
        </w:rPr>
        <w:t>全部由</w:t>
      </w:r>
      <w:r>
        <w:rPr>
          <w:rFonts w:hint="eastAsia"/>
          <w:color w:val="000000" w:themeColor="text1"/>
          <w:szCs w:val="24"/>
          <w14:textFill>
            <w14:solidFill>
              <w14:schemeClr w14:val="tx1"/>
            </w14:solidFill>
          </w14:textFill>
        </w:rPr>
        <w:t>符合政策要求的</w:t>
      </w:r>
      <w:r>
        <w:rPr>
          <w:rFonts w:hint="eastAsia"/>
          <w:b/>
          <w:color w:val="000000" w:themeColor="text1"/>
          <w:szCs w:val="24"/>
          <w14:textFill>
            <w14:solidFill>
              <w14:schemeClr w14:val="tx1"/>
            </w14:solidFill>
          </w14:textFill>
        </w:rPr>
        <w:t>残疾人福利性单位承接</w:t>
      </w:r>
      <w:r>
        <w:rPr>
          <w:rFonts w:hint="eastAsia"/>
          <w:color w:val="000000" w:themeColor="text1"/>
          <w:szCs w:val="24"/>
          <w14:textFill>
            <w14:solidFill>
              <w14:schemeClr w14:val="tx1"/>
            </w14:solidFill>
          </w14:textFill>
        </w:rPr>
        <w:t>。相关企业（含联合体中的残疾人福利性单位、签订分包意向协议的残疾人福利性单位）的具体情况如下：</w:t>
      </w:r>
    </w:p>
    <w:p w14:paraId="4B942C72">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1.</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（标的名称）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，承接企业为</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（企业名称）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，属于残疾人福利性单位；</w:t>
      </w:r>
    </w:p>
    <w:p w14:paraId="286CA40E">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2.</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（标的名称）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，承接企业为</w:t>
      </w:r>
      <w:r>
        <w:rPr>
          <w:rFonts w:hint="eastAsia"/>
          <w:color w:val="000000" w:themeColor="text1"/>
          <w:szCs w:val="24"/>
          <w:u w:val="single"/>
          <w14:textFill>
            <w14:solidFill>
              <w14:schemeClr w14:val="tx1"/>
            </w14:solidFill>
          </w14:textFill>
        </w:rPr>
        <w:t xml:space="preserve"> </w:t>
      </w:r>
      <w:r>
        <w:rPr>
          <w:rFonts w:hint="eastAsia"/>
          <w:i/>
          <w:color w:val="000000" w:themeColor="text1"/>
          <w:szCs w:val="24"/>
          <w:u w:val="single"/>
          <w14:textFill>
            <w14:solidFill>
              <w14:schemeClr w14:val="tx1"/>
            </w14:solidFill>
          </w14:textFill>
        </w:rPr>
        <w:t>（企业名称）</w:t>
      </w:r>
      <w:r>
        <w:rPr>
          <w:rFonts w:hint="eastAsia"/>
          <w:color w:val="000000" w:themeColor="text1"/>
          <w:szCs w:val="24"/>
          <w:u w:val="single"/>
          <w14:textFill>
            <w14:solidFill>
              <w14:schemeClr w14:val="tx1"/>
            </w14:solidFill>
          </w14:textFill>
        </w:rPr>
        <w:t xml:space="preserve"> </w:t>
      </w:r>
      <w:r>
        <w:rPr>
          <w:rFonts w:hint="eastAsia"/>
          <w:color w:val="000000" w:themeColor="text1"/>
          <w:szCs w:val="24"/>
          <w14:textFill>
            <w14:solidFill>
              <w14:schemeClr w14:val="tx1"/>
            </w14:solidFill>
          </w14:textFill>
        </w:rPr>
        <w:t>，属于残疾人福利性单位；</w:t>
      </w:r>
    </w:p>
    <w:p w14:paraId="2315BF4D">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p>
    <w:p w14:paraId="3DB0193F">
      <w:pPr>
        <w:ind w:firstLine="480" w:firstLineChars="200"/>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以上企业，不属于大企业的分支机构，不存在控股股东为大企业的情形，也不存在与大企业的负责人为同一人的情形。</w:t>
      </w:r>
    </w:p>
    <w:p w14:paraId="296A4F7B">
      <w:pPr>
        <w:ind w:left="1087" w:leftChars="200" w:hanging="607" w:hangingChars="253"/>
        <w:rPr>
          <w:rFonts w:hint="eastAsia"/>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本企业对上述声明内容的真实性负责。如有虚假，将依法承担相应责任。</w:t>
      </w:r>
    </w:p>
    <w:p w14:paraId="7200839B">
      <w:pPr>
        <w:ind w:left="1091" w:hanging="1091" w:hangingChars="453"/>
        <w:rPr>
          <w:rFonts w:hint="eastAsia"/>
          <w:b/>
          <w:color w:val="000000" w:themeColor="text1"/>
          <w:szCs w:val="21"/>
          <w:lang w:val="zh-CN"/>
          <w14:textFill>
            <w14:solidFill>
              <w14:schemeClr w14:val="tx1"/>
            </w14:solidFill>
          </w14:textFill>
        </w:rPr>
      </w:pPr>
    </w:p>
    <w:p w14:paraId="704B7C47">
      <w:pPr>
        <w:ind w:left="1091" w:hanging="1091" w:hangingChars="453"/>
        <w:rPr>
          <w:rFonts w:hint="eastAsia"/>
          <w:bCs/>
          <w:color w:val="000000" w:themeColor="text1"/>
          <w:szCs w:val="24"/>
          <w14:textFill>
            <w14:solidFill>
              <w14:schemeClr w14:val="tx1"/>
            </w14:solidFill>
          </w14:textFill>
        </w:rPr>
      </w:pPr>
      <w:r>
        <w:rPr>
          <w:rFonts w:hint="eastAsia"/>
          <w:b/>
          <w:color w:val="000000" w:themeColor="text1"/>
          <w:szCs w:val="21"/>
          <w:lang w:val="zh-CN"/>
          <w14:textFill>
            <w14:solidFill>
              <w14:schemeClr w14:val="tx1"/>
            </w14:solidFill>
          </w14:textFill>
        </w:rPr>
        <w:t>说明：</w:t>
      </w:r>
      <w:r>
        <w:rPr>
          <w:rFonts w:hint="eastAsia"/>
          <w:bCs/>
          <w:color w:val="000000" w:themeColor="text1"/>
          <w:szCs w:val="24"/>
          <w14:textFill>
            <w14:solidFill>
              <w14:schemeClr w14:val="tx1"/>
            </w14:solidFill>
          </w14:textFill>
        </w:rPr>
        <w:t>1、</w:t>
      </w:r>
      <w:r>
        <w:rPr>
          <w:rFonts w:hint="eastAsia"/>
          <w:bCs/>
          <w:color w:val="000000" w:themeColor="text1"/>
          <w:szCs w:val="21"/>
          <w:lang w:val="zh-CN"/>
          <w14:textFill>
            <w14:solidFill>
              <w14:schemeClr w14:val="tx1"/>
            </w14:solidFill>
          </w14:textFill>
        </w:rPr>
        <w:t>服务应当全部由符合</w:t>
      </w:r>
      <w:r>
        <w:rPr>
          <w:bCs/>
          <w:color w:val="000000" w:themeColor="text1"/>
          <w:szCs w:val="21"/>
          <w:lang w:val="zh-CN"/>
          <w14:textFill>
            <w14:solidFill>
              <w14:schemeClr w14:val="tx1"/>
            </w14:solidFill>
          </w14:textFill>
        </w:rPr>
        <w:t>政策要求的</w:t>
      </w:r>
      <w:r>
        <w:rPr>
          <w:rFonts w:hint="eastAsia"/>
          <w:bCs/>
          <w:color w:val="000000" w:themeColor="text1"/>
          <w:szCs w:val="21"/>
          <w:lang w:val="zh-CN"/>
          <w14:textFill>
            <w14:solidFill>
              <w14:schemeClr w14:val="tx1"/>
            </w14:solidFill>
          </w14:textFill>
        </w:rPr>
        <w:t>残疾人福利性单位承接，应当严格按上述格式及内容进行填写（应当明确每个标的的承接企业类型及相关数据），否则导致的后果由投标人自行承担；</w:t>
      </w:r>
    </w:p>
    <w:p w14:paraId="68C07815">
      <w:pPr>
        <w:ind w:left="1087" w:hanging="1087" w:hangingChars="453"/>
        <w:rPr>
          <w:rFonts w:hint="eastAsia" w:cs="Courier New"/>
          <w:color w:val="000000" w:themeColor="text1"/>
          <w:szCs w:val="21"/>
          <w14:textFill>
            <w14:solidFill>
              <w14:schemeClr w14:val="tx1"/>
            </w14:solidFill>
          </w14:textFill>
        </w:rPr>
      </w:pPr>
      <w:r>
        <w:rPr>
          <w:rFonts w:hint="eastAsia"/>
          <w:bCs/>
          <w:color w:val="000000" w:themeColor="text1"/>
          <w:szCs w:val="21"/>
          <w:lang w:val="zh-CN"/>
          <w14:textFill>
            <w14:solidFill>
              <w14:schemeClr w14:val="tx1"/>
            </w14:solidFill>
          </w14:textFill>
        </w:rPr>
        <w:t xml:space="preserve">      2、</w:t>
      </w:r>
      <w:r>
        <w:rPr>
          <w:rFonts w:hint="eastAsia" w:cs="Courier New"/>
          <w:color w:val="000000" w:themeColor="text1"/>
          <w:szCs w:val="21"/>
          <w14:textFill>
            <w14:solidFill>
              <w14:schemeClr w14:val="tx1"/>
            </w14:solidFill>
          </w14:textFill>
        </w:rPr>
        <w:t>以联合体形式参加的，应</w:t>
      </w:r>
      <w:r>
        <w:rPr>
          <w:rFonts w:hint="eastAsia"/>
          <w:bCs/>
          <w:color w:val="000000" w:themeColor="text1"/>
          <w:szCs w:val="21"/>
          <w:lang w:val="zh-CN"/>
          <w14:textFill>
            <w14:solidFill>
              <w14:schemeClr w14:val="tx1"/>
            </w14:solidFill>
          </w14:textFill>
        </w:rPr>
        <w:t>当</w:t>
      </w:r>
      <w:r>
        <w:rPr>
          <w:rFonts w:hint="eastAsia" w:cs="Courier New"/>
          <w:color w:val="000000" w:themeColor="text1"/>
          <w:szCs w:val="21"/>
          <w14:textFill>
            <w14:solidFill>
              <w14:schemeClr w14:val="tx1"/>
            </w14:solidFill>
          </w14:textFill>
        </w:rPr>
        <w:t>由联合体各方盖章。</w:t>
      </w:r>
    </w:p>
    <w:p w14:paraId="1E88B4C4">
      <w:pPr>
        <w:ind w:firstLine="3316" w:firstLineChars="1382"/>
        <w:rPr>
          <w:rFonts w:hint="eastAsia"/>
          <w:bCs/>
          <w:color w:val="000000" w:themeColor="text1"/>
          <w:szCs w:val="21"/>
          <w:lang w:val="zh-CN"/>
          <w14:textFill>
            <w14:solidFill>
              <w14:schemeClr w14:val="tx1"/>
            </w14:solidFill>
          </w14:textFill>
        </w:rPr>
      </w:pPr>
      <w:r>
        <w:rPr>
          <w:rFonts w:hint="eastAsia"/>
          <w:bCs/>
          <w:color w:val="000000" w:themeColor="text1"/>
          <w:szCs w:val="21"/>
          <w:lang w:val="zh-CN"/>
          <w14:textFill>
            <w14:solidFill>
              <w14:schemeClr w14:val="tx1"/>
            </w14:solidFill>
          </w14:textFill>
        </w:rPr>
        <w:t>投标人：</w:t>
      </w:r>
      <w:r>
        <w:rPr>
          <w:rFonts w:hint="eastAsia"/>
          <w:bCs/>
          <w:color w:val="000000" w:themeColor="text1"/>
          <w:szCs w:val="21"/>
          <w:u w:val="single"/>
          <w:lang w:val="zh-CN"/>
          <w14:textFill>
            <w14:solidFill>
              <w14:schemeClr w14:val="tx1"/>
            </w14:solidFill>
          </w14:textFill>
        </w:rPr>
        <w:t xml:space="preserve">                         </w:t>
      </w:r>
    </w:p>
    <w:p w14:paraId="6ECC4D3C">
      <w:pPr>
        <w:ind w:firstLine="3316" w:firstLineChars="1382"/>
        <w:rPr>
          <w:rFonts w:hint="eastAsia"/>
          <w:bCs/>
          <w:color w:val="000000" w:themeColor="text1"/>
          <w:szCs w:val="24"/>
          <w:u w:val="single"/>
          <w14:textFill>
            <w14:solidFill>
              <w14:schemeClr w14:val="tx1"/>
            </w14:solidFill>
          </w14:textFill>
        </w:rPr>
      </w:pPr>
      <w:r>
        <w:rPr>
          <w:rFonts w:hint="eastAsia"/>
          <w:color w:val="000000" w:themeColor="text1"/>
          <w:szCs w:val="24"/>
          <w14:textFill>
            <w14:solidFill>
              <w14:schemeClr w14:val="tx1"/>
            </w14:solidFill>
          </w14:textFill>
        </w:rPr>
        <w:t xml:space="preserve">日 </w:t>
      </w:r>
      <w:r>
        <w:rPr>
          <w:color w:val="000000" w:themeColor="text1"/>
          <w:szCs w:val="24"/>
          <w14:textFill>
            <w14:solidFill>
              <w14:schemeClr w14:val="tx1"/>
            </w14:solidFill>
          </w14:textFill>
        </w:rPr>
        <w:t xml:space="preserve"> </w:t>
      </w:r>
      <w:r>
        <w:rPr>
          <w:rFonts w:hint="eastAsia"/>
          <w:color w:val="000000" w:themeColor="text1"/>
          <w:szCs w:val="24"/>
          <w14:textFill>
            <w14:solidFill>
              <w14:schemeClr w14:val="tx1"/>
            </w14:solidFill>
          </w14:textFill>
        </w:rPr>
        <w:t>期：</w:t>
      </w:r>
      <w:r>
        <w:rPr>
          <w:bCs/>
          <w:color w:val="000000" w:themeColor="text1"/>
          <w:szCs w:val="24"/>
          <w:u w:val="single"/>
          <w14:textFill>
            <w14:solidFill>
              <w14:schemeClr w14:val="tx1"/>
            </w14:solidFill>
          </w14:textFill>
        </w:rPr>
        <w:t xml:space="preserve">                    </w:t>
      </w:r>
      <w:r>
        <w:rPr>
          <w:rFonts w:hint="eastAsia"/>
          <w:bCs/>
          <w:color w:val="000000" w:themeColor="text1"/>
          <w:szCs w:val="24"/>
          <w:u w:val="single"/>
          <w14:textFill>
            <w14:solidFill>
              <w14:schemeClr w14:val="tx1"/>
            </w14:solidFill>
          </w14:textFill>
        </w:rPr>
        <w:t xml:space="preserve"> </w:t>
      </w:r>
      <w:r>
        <w:rPr>
          <w:bCs/>
          <w:color w:val="000000" w:themeColor="text1"/>
          <w:szCs w:val="24"/>
          <w:u w:val="single"/>
          <w14:textFill>
            <w14:solidFill>
              <w14:schemeClr w14:val="tx1"/>
            </w14:solidFill>
          </w14:textFill>
        </w:rPr>
        <w:t xml:space="preserve">         </w:t>
      </w:r>
    </w:p>
    <w:p w14:paraId="511F3C3B">
      <w:pPr>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2F34A9A9">
      <w:pPr>
        <w:rPr>
          <w:rFonts w:hint="eastAsia"/>
          <w:color w:val="000000" w:themeColor="text1"/>
          <w14:textFill>
            <w14:solidFill>
              <w14:schemeClr w14:val="tx1"/>
            </w14:solidFill>
          </w14:textFill>
        </w:rPr>
      </w:pPr>
    </w:p>
    <w:p w14:paraId="73B0D33B">
      <w:pPr>
        <w:ind w:firstLine="281" w:firstLineChars="100"/>
        <w:rPr>
          <w:rFonts w:hint="eastAsia" w:cs="仿宋_GB2312"/>
          <w:b/>
          <w:color w:val="000000" w:themeColor="text1"/>
          <w:sz w:val="28"/>
          <w:szCs w:val="28"/>
          <w14:textFill>
            <w14:solidFill>
              <w14:schemeClr w14:val="tx1"/>
            </w14:solidFill>
          </w14:textFill>
        </w:rPr>
      </w:pPr>
    </w:p>
    <w:p w14:paraId="00AC95AA">
      <w:pPr>
        <w:pStyle w:val="92"/>
        <w:numPr>
          <w:ilvl w:val="0"/>
          <w:numId w:val="37"/>
        </w:numPr>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其它落实政府采购政策的相关证明文件</w:t>
      </w:r>
    </w:p>
    <w:p w14:paraId="66B45D0D">
      <w:pPr>
        <w:rPr>
          <w:rFonts w:hint="eastAsia" w:cs="仿宋_GB2312"/>
          <w:b/>
          <w:color w:val="000000" w:themeColor="text1"/>
          <w:sz w:val="28"/>
          <w:szCs w:val="28"/>
          <w14:textFill>
            <w14:solidFill>
              <w14:schemeClr w14:val="tx1"/>
            </w14:solidFill>
          </w14:textFill>
        </w:rPr>
      </w:pPr>
    </w:p>
    <w:p w14:paraId="797D746F">
      <w:pPr>
        <w:rPr>
          <w:rFonts w:hint="eastAsia" w:cs="仿宋_GB2312"/>
          <w:b/>
          <w:color w:val="000000" w:themeColor="text1"/>
          <w:sz w:val="28"/>
          <w:szCs w:val="28"/>
          <w14:textFill>
            <w14:solidFill>
              <w14:schemeClr w14:val="tx1"/>
            </w14:solidFill>
          </w14:textFill>
        </w:rPr>
      </w:pPr>
      <w:r>
        <w:rPr>
          <w:rFonts w:cs="仿宋_GB2312"/>
          <w:b/>
          <w:color w:val="000000" w:themeColor="text1"/>
          <w:sz w:val="28"/>
          <w:szCs w:val="28"/>
          <w14:textFill>
            <w14:solidFill>
              <w14:schemeClr w14:val="tx1"/>
            </w14:solidFill>
          </w14:textFill>
        </w:rPr>
        <w:br w:type="page"/>
      </w:r>
    </w:p>
    <w:p w14:paraId="7884AF0D">
      <w:pPr>
        <w:pStyle w:val="6"/>
        <w:numPr>
          <w:ilvl w:val="0"/>
          <w:numId w:val="34"/>
        </w:numPr>
        <w:spacing w:before="0" w:after="0"/>
        <w:ind w:left="0"/>
        <w:rPr>
          <w:rFonts w:hint="eastAsia"/>
          <w:color w:val="000000" w:themeColor="text1"/>
          <w14:textFill>
            <w14:solidFill>
              <w14:schemeClr w14:val="tx1"/>
            </w14:solidFill>
          </w14:textFill>
        </w:rPr>
      </w:pPr>
      <w:bookmarkStart w:id="527" w:name="_Toc18115"/>
      <w:bookmarkStart w:id="528" w:name="_Toc28362"/>
      <w:r>
        <w:rPr>
          <w:rFonts w:hint="eastAsia"/>
          <w:color w:val="000000" w:themeColor="text1"/>
          <w14:textFill>
            <w14:solidFill>
              <w14:schemeClr w14:val="tx1"/>
            </w14:solidFill>
          </w14:textFill>
        </w:rPr>
        <w:t>投标人认为需要提供的其他资料</w:t>
      </w:r>
      <w:bookmarkEnd w:id="527"/>
      <w:bookmarkEnd w:id="528"/>
    </w:p>
    <w:p w14:paraId="65AB44FF">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招标文件要求供应商须提交的其它资料；</w:t>
      </w:r>
    </w:p>
    <w:p w14:paraId="660E96A1">
      <w:pPr>
        <w:pStyle w:val="91"/>
        <w:wordWrap/>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2.投标人认为需加以说明的其它内容。</w:t>
      </w:r>
    </w:p>
    <w:sectPr>
      <w:footerReference r:id="rId6" w:type="default"/>
      <w:pgSz w:w="11906" w:h="16838"/>
      <w:pgMar w:top="1440" w:right="1440" w:bottom="1440"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00"/>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StarSymbol">
    <w:altName w:val="微软雅黑"/>
    <w:panose1 w:val="00000000000000000000"/>
    <w:charset w:val="00"/>
    <w:family w:val="auto"/>
    <w:pitch w:val="default"/>
    <w:sig w:usb0="00000000" w:usb1="00000000" w:usb2="00000000" w:usb3="00000000" w:csb0="00040001" w:csb1="00000000"/>
  </w:font>
  <w:font w:name="Helvetica-Condensed-Bold">
    <w:altName w:val="宋体"/>
    <w:panose1 w:val="00000000000000000000"/>
    <w:charset w:val="00"/>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 PL ShanHeiSun Uni">
    <w:altName w:val="Arial"/>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长城仿宋">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Segoe Print"/>
    <w:panose1 w:val="00000000000000000000"/>
    <w:charset w:val="00"/>
    <w:family w:val="auto"/>
    <w:pitch w:val="default"/>
    <w:sig w:usb0="00000000" w:usb1="00000000" w:usb2="00000012" w:usb3="00000000" w:csb0="0002000D" w:csb1="00000000"/>
  </w:font>
  <w:font w:name="Segoe UI">
    <w:panose1 w:val="020B0502040204020203"/>
    <w:charset w:val="00"/>
    <w:family w:val="swiss"/>
    <w:pitch w:val="default"/>
    <w:sig w:usb0="E10022FF" w:usb1="C000E47F" w:usb2="00000029" w:usb3="00000000" w:csb0="200001DF" w:csb1="2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5757">
    <w:pPr>
      <w:pStyle w:val="50"/>
      <w:jc w:val="center"/>
      <w:rPr>
        <w:rFonts w:hint="eastAsia"/>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135</w:t>
    </w:r>
    <w:r>
      <w:rPr>
        <w:sz w:val="21"/>
        <w:szCs w:val="21"/>
      </w:rPr>
      <w:fldChar w:fldCharType="end"/>
    </w:r>
  </w:p>
  <w:p w14:paraId="2F1B01DB">
    <w:pPr>
      <w:pStyle w:val="5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EFBD">
    <w:pPr>
      <w:pStyle w:val="50"/>
      <w:jc w:val="center"/>
      <w:rPr>
        <w:rFonts w:hint="eastAsia"/>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172</w:t>
    </w:r>
    <w:r>
      <w:rPr>
        <w:sz w:val="21"/>
        <w:szCs w:val="21"/>
      </w:rPr>
      <w:fldChar w:fldCharType="end"/>
    </w:r>
  </w:p>
  <w:p w14:paraId="2F7D8A27">
    <w:pPr>
      <w:pStyle w:val="5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21"/>
      <w:suff w:val="space"/>
      <w:lvlText w:val="%1.%2."/>
      <w:lvlJc w:val="left"/>
      <w:pPr>
        <w:ind w:left="927" w:hanging="567"/>
      </w:pPr>
      <w:rPr>
        <w:rFonts w:hint="eastAsia"/>
      </w:rPr>
    </w:lvl>
    <w:lvl w:ilvl="2" w:tentative="0">
      <w:start w:val="1"/>
      <w:numFmt w:val="decimal"/>
      <w:pStyle w:val="725"/>
      <w:suff w:val="space"/>
      <w:lvlText w:val="%1.%2.%3."/>
      <w:lvlJc w:val="left"/>
      <w:pPr>
        <w:ind w:left="709" w:hanging="709"/>
      </w:pPr>
      <w:rPr>
        <w:rFonts w:hint="eastAsia"/>
      </w:rPr>
    </w:lvl>
    <w:lvl w:ilvl="3" w:tentative="0">
      <w:start w:val="1"/>
      <w:numFmt w:val="decimal"/>
      <w:pStyle w:val="717"/>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11"/>
    <w:multiLevelType w:val="multilevel"/>
    <w:tmpl w:val="00000011"/>
    <w:lvl w:ilvl="0" w:tentative="0">
      <w:start w:val="1"/>
      <w:numFmt w:val="decimal"/>
      <w:pStyle w:val="358"/>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zh-CN"/>
      </w:rPr>
    </w:lvl>
    <w:lvl w:ilvl="2" w:tentative="0">
      <w:start w:val="1"/>
      <w:numFmt w:val="decimal"/>
      <w:pStyle w:val="43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3"/>
    <w:multiLevelType w:val="multilevel"/>
    <w:tmpl w:val="00000013"/>
    <w:lvl w:ilvl="0" w:tentative="0">
      <w:start w:val="1"/>
      <w:numFmt w:val="ideographDigital"/>
      <w:pStyle w:val="19"/>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1256294C"/>
    <w:multiLevelType w:val="multilevel"/>
    <w:tmpl w:val="1256294C"/>
    <w:lvl w:ilvl="0" w:tentative="0">
      <w:start w:val="1"/>
      <w:numFmt w:val="decimal"/>
      <w:pStyle w:val="459"/>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2.%3"/>
      <w:lvlJc w:val="left"/>
      <w:pPr>
        <w:ind w:left="1418" w:hanging="567"/>
      </w:pPr>
      <w:rPr>
        <w:rFonts w:hint="eastAsia"/>
        <w:b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6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761375"/>
    <w:multiLevelType w:val="multilevel"/>
    <w:tmpl w:val="1C76137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1">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9FE05AD"/>
    <w:multiLevelType w:val="multilevel"/>
    <w:tmpl w:val="39FE05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8">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447B6378"/>
    <w:multiLevelType w:val="multilevel"/>
    <w:tmpl w:val="447B6378"/>
    <w:lvl w:ilvl="0" w:tentative="0">
      <w:start w:val="1"/>
      <w:numFmt w:val="decimal"/>
      <w:pStyle w:val="9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758511E"/>
    <w:multiLevelType w:val="multilevel"/>
    <w:tmpl w:val="4758511E"/>
    <w:lvl w:ilvl="0" w:tentative="0">
      <w:start w:val="1"/>
      <w:numFmt w:val="bullet"/>
      <w:pStyle w:val="458"/>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29B3B6E"/>
    <w:multiLevelType w:val="multilevel"/>
    <w:tmpl w:val="529B3B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8B139F"/>
    <w:multiLevelType w:val="multilevel"/>
    <w:tmpl w:val="588B139F"/>
    <w:lvl w:ilvl="0" w:tentative="0">
      <w:start w:val="1"/>
      <w:numFmt w:val="bullet"/>
      <w:pStyle w:val="456"/>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B906794"/>
    <w:multiLevelType w:val="multilevel"/>
    <w:tmpl w:val="5B906794"/>
    <w:lvl w:ilvl="0" w:tentative="0">
      <w:start w:val="1"/>
      <w:numFmt w:val="bullet"/>
      <w:pStyle w:val="457"/>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abstractNum w:abstractNumId="28">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20426D"/>
    <w:multiLevelType w:val="multilevel"/>
    <w:tmpl w:val="6D20426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04A0C0D"/>
    <w:multiLevelType w:val="multilevel"/>
    <w:tmpl w:val="704A0C0D"/>
    <w:lvl w:ilvl="0" w:tentative="0">
      <w:start w:val="1"/>
      <w:numFmt w:val="decimal"/>
      <w:suff w:val="noth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75504026"/>
    <w:multiLevelType w:val="multilevel"/>
    <w:tmpl w:val="75504026"/>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91C7C77"/>
    <w:multiLevelType w:val="multilevel"/>
    <w:tmpl w:val="791C7C77"/>
    <w:lvl w:ilvl="0" w:tentative="0">
      <w:start w:val="1"/>
      <w:numFmt w:val="decimal"/>
      <w:lvlText w:val="%1"/>
      <w:lvlJc w:val="left"/>
      <w:pPr>
        <w:ind w:left="425" w:hanging="425"/>
      </w:pPr>
      <w:rPr>
        <w:rFonts w:hint="eastAsia"/>
      </w:rPr>
    </w:lvl>
    <w:lvl w:ilvl="1" w:tentative="0">
      <w:start w:val="1"/>
      <w:numFmt w:val="decimal"/>
      <w:pStyle w:val="107"/>
      <w:lvlText w:val="%1.%2"/>
      <w:lvlJc w:val="left"/>
      <w:pPr>
        <w:ind w:left="993"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79841C79"/>
    <w:multiLevelType w:val="multilevel"/>
    <w:tmpl w:val="79841C7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E9200FF"/>
    <w:multiLevelType w:val="multilevel"/>
    <w:tmpl w:val="7E9200F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F01297A"/>
    <w:multiLevelType w:val="multilevel"/>
    <w:tmpl w:val="7F0129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1"/>
  </w:num>
  <w:num w:numId="3">
    <w:abstractNumId w:val="34"/>
  </w:num>
  <w:num w:numId="4">
    <w:abstractNumId w:val="1"/>
  </w:num>
  <w:num w:numId="5">
    <w:abstractNumId w:val="26"/>
  </w:num>
  <w:num w:numId="6">
    <w:abstractNumId w:val="27"/>
  </w:num>
  <w:num w:numId="7">
    <w:abstractNumId w:val="22"/>
  </w:num>
  <w:num w:numId="8">
    <w:abstractNumId w:val="7"/>
  </w:num>
  <w:num w:numId="9">
    <w:abstractNumId w:val="0"/>
  </w:num>
  <w:num w:numId="10">
    <w:abstractNumId w:val="14"/>
  </w:num>
  <w:num w:numId="11">
    <w:abstractNumId w:val="5"/>
  </w:num>
  <w:num w:numId="12">
    <w:abstractNumId w:val="3"/>
  </w:num>
  <w:num w:numId="13">
    <w:abstractNumId w:val="20"/>
  </w:num>
  <w:num w:numId="14">
    <w:abstractNumId w:val="8"/>
  </w:num>
  <w:num w:numId="15">
    <w:abstractNumId w:val="13"/>
  </w:num>
  <w:num w:numId="16">
    <w:abstractNumId w:val="18"/>
  </w:num>
  <w:num w:numId="17">
    <w:abstractNumId w:val="11"/>
  </w:num>
  <w:num w:numId="18">
    <w:abstractNumId w:val="23"/>
  </w:num>
  <w:num w:numId="19">
    <w:abstractNumId w:val="25"/>
  </w:num>
  <w:num w:numId="20">
    <w:abstractNumId w:val="32"/>
  </w:num>
  <w:num w:numId="21">
    <w:abstractNumId w:val="28"/>
  </w:num>
  <w:num w:numId="22">
    <w:abstractNumId w:val="24"/>
  </w:num>
  <w:num w:numId="23">
    <w:abstractNumId w:val="12"/>
  </w:num>
  <w:num w:numId="24">
    <w:abstractNumId w:val="15"/>
  </w:num>
  <w:num w:numId="25">
    <w:abstractNumId w:val="19"/>
  </w:num>
  <w:num w:numId="26">
    <w:abstractNumId w:val="6"/>
  </w:num>
  <w:num w:numId="27">
    <w:abstractNumId w:val="17"/>
  </w:num>
  <w:num w:numId="28">
    <w:abstractNumId w:val="29"/>
  </w:num>
  <w:num w:numId="29">
    <w:abstractNumId w:val="4"/>
  </w:num>
  <w:num w:numId="30">
    <w:abstractNumId w:val="10"/>
  </w:num>
  <w:num w:numId="31">
    <w:abstractNumId w:val="36"/>
  </w:num>
  <w:num w:numId="32">
    <w:abstractNumId w:val="35"/>
  </w:num>
  <w:num w:numId="33">
    <w:abstractNumId w:val="30"/>
  </w:num>
  <w:num w:numId="34">
    <w:abstractNumId w:val="16"/>
  </w:num>
  <w:num w:numId="35">
    <w:abstractNumId w:val="9"/>
  </w:num>
  <w:num w:numId="36">
    <w:abstractNumId w:val="33"/>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jhmOTcwNDc0NTZlYTBhOTNiMWUzMGM5NjU4M2IifQ=="/>
  </w:docVars>
  <w:rsids>
    <w:rsidRoot w:val="00F43477"/>
    <w:rsid w:val="00004218"/>
    <w:rsid w:val="00012413"/>
    <w:rsid w:val="000744FA"/>
    <w:rsid w:val="0011261F"/>
    <w:rsid w:val="00123A2E"/>
    <w:rsid w:val="00150B7F"/>
    <w:rsid w:val="001927DA"/>
    <w:rsid w:val="001A5557"/>
    <w:rsid w:val="001C3CA2"/>
    <w:rsid w:val="001D5CF4"/>
    <w:rsid w:val="001F1CB1"/>
    <w:rsid w:val="002513A3"/>
    <w:rsid w:val="00266607"/>
    <w:rsid w:val="00281684"/>
    <w:rsid w:val="00296381"/>
    <w:rsid w:val="002A529F"/>
    <w:rsid w:val="002A7D3E"/>
    <w:rsid w:val="002B08E5"/>
    <w:rsid w:val="002C3CAB"/>
    <w:rsid w:val="002F7CEA"/>
    <w:rsid w:val="00342388"/>
    <w:rsid w:val="00356EE1"/>
    <w:rsid w:val="003609C2"/>
    <w:rsid w:val="00367945"/>
    <w:rsid w:val="004019BE"/>
    <w:rsid w:val="00473061"/>
    <w:rsid w:val="004970A3"/>
    <w:rsid w:val="004A2F9C"/>
    <w:rsid w:val="004B7EB2"/>
    <w:rsid w:val="004C5B36"/>
    <w:rsid w:val="004D3888"/>
    <w:rsid w:val="004E100C"/>
    <w:rsid w:val="00521568"/>
    <w:rsid w:val="00530270"/>
    <w:rsid w:val="0056496F"/>
    <w:rsid w:val="005859D1"/>
    <w:rsid w:val="005A449A"/>
    <w:rsid w:val="005A50C7"/>
    <w:rsid w:val="005A59A4"/>
    <w:rsid w:val="005A698A"/>
    <w:rsid w:val="005D4615"/>
    <w:rsid w:val="005D7997"/>
    <w:rsid w:val="005E3A49"/>
    <w:rsid w:val="00635DA0"/>
    <w:rsid w:val="006525F0"/>
    <w:rsid w:val="00663371"/>
    <w:rsid w:val="00673DF2"/>
    <w:rsid w:val="006835BB"/>
    <w:rsid w:val="006C13F2"/>
    <w:rsid w:val="006C2ED2"/>
    <w:rsid w:val="006D21A7"/>
    <w:rsid w:val="006D2A98"/>
    <w:rsid w:val="006F2105"/>
    <w:rsid w:val="00707226"/>
    <w:rsid w:val="00780DE2"/>
    <w:rsid w:val="007F0F99"/>
    <w:rsid w:val="007F7078"/>
    <w:rsid w:val="00834E9D"/>
    <w:rsid w:val="0084586A"/>
    <w:rsid w:val="00862092"/>
    <w:rsid w:val="008A5A72"/>
    <w:rsid w:val="008B3690"/>
    <w:rsid w:val="008D77B0"/>
    <w:rsid w:val="0094255A"/>
    <w:rsid w:val="009873FC"/>
    <w:rsid w:val="009C1A66"/>
    <w:rsid w:val="009F0B9C"/>
    <w:rsid w:val="00A46DB2"/>
    <w:rsid w:val="00A54AD9"/>
    <w:rsid w:val="00A87588"/>
    <w:rsid w:val="00AA758E"/>
    <w:rsid w:val="00AF52F9"/>
    <w:rsid w:val="00C059E7"/>
    <w:rsid w:val="00C71E17"/>
    <w:rsid w:val="00C74775"/>
    <w:rsid w:val="00C75DBC"/>
    <w:rsid w:val="00C84EB8"/>
    <w:rsid w:val="00C8633C"/>
    <w:rsid w:val="00C938AF"/>
    <w:rsid w:val="00C94917"/>
    <w:rsid w:val="00CB1973"/>
    <w:rsid w:val="00D22DF6"/>
    <w:rsid w:val="00D34BD8"/>
    <w:rsid w:val="00D43346"/>
    <w:rsid w:val="00D610E5"/>
    <w:rsid w:val="00D75A83"/>
    <w:rsid w:val="00DC2B25"/>
    <w:rsid w:val="00DE62DE"/>
    <w:rsid w:val="00E00318"/>
    <w:rsid w:val="00E02E62"/>
    <w:rsid w:val="00E06658"/>
    <w:rsid w:val="00E13C60"/>
    <w:rsid w:val="00E25416"/>
    <w:rsid w:val="00E644C8"/>
    <w:rsid w:val="00EB0832"/>
    <w:rsid w:val="00EC0F98"/>
    <w:rsid w:val="00F32612"/>
    <w:rsid w:val="00F3603C"/>
    <w:rsid w:val="00F4089A"/>
    <w:rsid w:val="00F43477"/>
    <w:rsid w:val="00F52F49"/>
    <w:rsid w:val="00FA66E9"/>
    <w:rsid w:val="00FE130C"/>
    <w:rsid w:val="00FE3B8A"/>
    <w:rsid w:val="019C1399"/>
    <w:rsid w:val="040D37C4"/>
    <w:rsid w:val="054E47D6"/>
    <w:rsid w:val="08C96E80"/>
    <w:rsid w:val="0AD6392F"/>
    <w:rsid w:val="0C9E34E2"/>
    <w:rsid w:val="0DE16EFD"/>
    <w:rsid w:val="0FB55176"/>
    <w:rsid w:val="12B705C3"/>
    <w:rsid w:val="146D4B03"/>
    <w:rsid w:val="167B3370"/>
    <w:rsid w:val="1B7067BA"/>
    <w:rsid w:val="1D5F77B4"/>
    <w:rsid w:val="1DE072C5"/>
    <w:rsid w:val="21075292"/>
    <w:rsid w:val="22145011"/>
    <w:rsid w:val="232B7D71"/>
    <w:rsid w:val="244F3888"/>
    <w:rsid w:val="25CE035B"/>
    <w:rsid w:val="28615039"/>
    <w:rsid w:val="29FF2BF9"/>
    <w:rsid w:val="2B2E12F7"/>
    <w:rsid w:val="2F984E1B"/>
    <w:rsid w:val="2FE04785"/>
    <w:rsid w:val="323352EB"/>
    <w:rsid w:val="33055082"/>
    <w:rsid w:val="331A7FAD"/>
    <w:rsid w:val="33745910"/>
    <w:rsid w:val="33DC1707"/>
    <w:rsid w:val="37BF69C0"/>
    <w:rsid w:val="39917015"/>
    <w:rsid w:val="3FBA0B4E"/>
    <w:rsid w:val="42202EC8"/>
    <w:rsid w:val="44332C25"/>
    <w:rsid w:val="450C1738"/>
    <w:rsid w:val="4528359C"/>
    <w:rsid w:val="460C280E"/>
    <w:rsid w:val="46732D30"/>
    <w:rsid w:val="46B81CA1"/>
    <w:rsid w:val="46E858BC"/>
    <w:rsid w:val="47565E45"/>
    <w:rsid w:val="48801E71"/>
    <w:rsid w:val="492E159E"/>
    <w:rsid w:val="4B0A10D4"/>
    <w:rsid w:val="4C012BBE"/>
    <w:rsid w:val="4DBF2FC6"/>
    <w:rsid w:val="4ED7041B"/>
    <w:rsid w:val="51496F9C"/>
    <w:rsid w:val="540D5F17"/>
    <w:rsid w:val="54BA3AC2"/>
    <w:rsid w:val="58226CC2"/>
    <w:rsid w:val="58505D71"/>
    <w:rsid w:val="5AA4622B"/>
    <w:rsid w:val="5D10429A"/>
    <w:rsid w:val="5F435E3E"/>
    <w:rsid w:val="60953B50"/>
    <w:rsid w:val="616A4C77"/>
    <w:rsid w:val="61E74AF0"/>
    <w:rsid w:val="62C347FC"/>
    <w:rsid w:val="6384527D"/>
    <w:rsid w:val="644A6F1C"/>
    <w:rsid w:val="65900A34"/>
    <w:rsid w:val="663B6EF0"/>
    <w:rsid w:val="6A361149"/>
    <w:rsid w:val="6AB936DD"/>
    <w:rsid w:val="6B4F5E04"/>
    <w:rsid w:val="6C932B7E"/>
    <w:rsid w:val="6CD7242C"/>
    <w:rsid w:val="703878BB"/>
    <w:rsid w:val="7121017E"/>
    <w:rsid w:val="71997F80"/>
    <w:rsid w:val="71D0060B"/>
    <w:rsid w:val="72172464"/>
    <w:rsid w:val="7537114E"/>
    <w:rsid w:val="75731363"/>
    <w:rsid w:val="78B04965"/>
    <w:rsid w:val="7AAF235A"/>
    <w:rsid w:val="7C56421B"/>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黑体"/>
      <w:kern w:val="2"/>
      <w:sz w:val="24"/>
      <w:szCs w:val="22"/>
      <w:lang w:val="en-US" w:eastAsia="zh-CN" w:bidi="ar-SA"/>
    </w:rPr>
  </w:style>
  <w:style w:type="paragraph" w:styleId="3">
    <w:name w:val="heading 1"/>
    <w:basedOn w:val="1"/>
    <w:next w:val="1"/>
    <w:link w:val="96"/>
    <w:qFormat/>
    <w:uiPriority w:val="0"/>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99"/>
    <w:autoRedefine/>
    <w:unhideWhenUsed/>
    <w:qFormat/>
    <w:uiPriority w:val="0"/>
    <w:pPr>
      <w:keepNext/>
      <w:keepLines/>
      <w:spacing w:before="260" w:after="260" w:line="416" w:lineRule="auto"/>
      <w:outlineLvl w:val="1"/>
    </w:pPr>
    <w:rPr>
      <w:rFonts w:ascii="等线 Light" w:hAnsi="等线 Light"/>
      <w:b/>
      <w:bCs/>
      <w:sz w:val="32"/>
      <w:szCs w:val="32"/>
    </w:rPr>
  </w:style>
  <w:style w:type="paragraph" w:styleId="5">
    <w:name w:val="heading 3"/>
    <w:basedOn w:val="1"/>
    <w:next w:val="1"/>
    <w:link w:val="101"/>
    <w:autoRedefine/>
    <w:unhideWhenUsed/>
    <w:qFormat/>
    <w:uiPriority w:val="0"/>
    <w:pPr>
      <w:keepNext/>
      <w:keepLines/>
      <w:spacing w:before="260" w:after="260" w:line="416" w:lineRule="auto"/>
      <w:outlineLvl w:val="2"/>
    </w:pPr>
    <w:rPr>
      <w:b/>
      <w:bCs/>
      <w:sz w:val="30"/>
      <w:szCs w:val="32"/>
    </w:rPr>
  </w:style>
  <w:style w:type="paragraph" w:styleId="6">
    <w:name w:val="heading 4"/>
    <w:basedOn w:val="1"/>
    <w:next w:val="1"/>
    <w:link w:val="102"/>
    <w:autoRedefine/>
    <w:unhideWhenUsed/>
    <w:qFormat/>
    <w:uiPriority w:val="0"/>
    <w:pPr>
      <w:keepNext/>
      <w:keepLines/>
      <w:spacing w:before="280" w:after="290" w:line="376" w:lineRule="auto"/>
      <w:outlineLvl w:val="3"/>
    </w:pPr>
    <w:rPr>
      <w:rFonts w:ascii="等线 Light" w:hAnsi="等线 Light"/>
      <w:b/>
      <w:bCs/>
      <w:sz w:val="28"/>
      <w:szCs w:val="28"/>
    </w:rPr>
  </w:style>
  <w:style w:type="paragraph" w:styleId="7">
    <w:name w:val="heading 5"/>
    <w:basedOn w:val="1"/>
    <w:next w:val="8"/>
    <w:link w:val="122"/>
    <w:autoRedefine/>
    <w:qFormat/>
    <w:uiPriority w:val="0"/>
    <w:pPr>
      <w:keepNext/>
      <w:keepLines/>
      <w:spacing w:before="280" w:after="290" w:line="376" w:lineRule="auto"/>
      <w:outlineLvl w:val="4"/>
    </w:pPr>
    <w:rPr>
      <w:b/>
      <w:sz w:val="28"/>
      <w:szCs w:val="20"/>
    </w:rPr>
  </w:style>
  <w:style w:type="paragraph" w:styleId="9">
    <w:name w:val="heading 6"/>
    <w:basedOn w:val="1"/>
    <w:next w:val="1"/>
    <w:link w:val="118"/>
    <w:qFormat/>
    <w:uiPriority w:val="0"/>
    <w:pPr>
      <w:keepNext/>
      <w:spacing w:line="500" w:lineRule="exact"/>
      <w:jc w:val="center"/>
      <w:outlineLvl w:val="5"/>
    </w:pPr>
    <w:rPr>
      <w:rFonts w:cs="宋体"/>
      <w:b/>
      <w:kern w:val="0"/>
      <w:sz w:val="30"/>
      <w:szCs w:val="30"/>
    </w:rPr>
  </w:style>
  <w:style w:type="paragraph" w:styleId="10">
    <w:name w:val="heading 7"/>
    <w:basedOn w:val="1"/>
    <w:next w:val="1"/>
    <w:link w:val="119"/>
    <w:qFormat/>
    <w:uiPriority w:val="0"/>
    <w:pPr>
      <w:keepNext/>
      <w:keepLines/>
      <w:spacing w:before="240" w:after="64" w:line="240" w:lineRule="auto"/>
      <w:jc w:val="both"/>
      <w:outlineLvl w:val="6"/>
    </w:pPr>
    <w:rPr>
      <w:rFonts w:ascii="Times New Roman" w:hAnsi="Times New Roman" w:cs="Times New Roman"/>
      <w:kern w:val="0"/>
      <w:szCs w:val="20"/>
    </w:rPr>
  </w:style>
  <w:style w:type="paragraph" w:styleId="11">
    <w:name w:val="heading 8"/>
    <w:basedOn w:val="1"/>
    <w:next w:val="1"/>
    <w:link w:val="120"/>
    <w:qFormat/>
    <w:uiPriority w:val="0"/>
    <w:pPr>
      <w:keepNext/>
      <w:keepLines/>
      <w:spacing w:before="240" w:after="64" w:line="240" w:lineRule="auto"/>
      <w:jc w:val="both"/>
      <w:outlineLvl w:val="7"/>
    </w:pPr>
    <w:rPr>
      <w:rFonts w:ascii="Arial" w:hAnsi="Arial" w:eastAsia="黑体" w:cs="Arial"/>
      <w:kern w:val="0"/>
      <w:szCs w:val="20"/>
    </w:rPr>
  </w:style>
  <w:style w:type="paragraph" w:styleId="12">
    <w:name w:val="heading 9"/>
    <w:basedOn w:val="1"/>
    <w:next w:val="1"/>
    <w:link w:val="121"/>
    <w:qFormat/>
    <w:uiPriority w:val="0"/>
    <w:pPr>
      <w:keepNext/>
      <w:keepLines/>
      <w:spacing w:before="240" w:after="64" w:line="240" w:lineRule="auto"/>
      <w:jc w:val="both"/>
      <w:outlineLvl w:val="8"/>
    </w:pPr>
    <w:rPr>
      <w:rFonts w:ascii="Arial" w:hAnsi="Arial" w:eastAsia="黑体" w:cs="Arial"/>
      <w:kern w:val="0"/>
      <w:sz w:val="20"/>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23"/>
    <w:qFormat/>
    <w:uiPriority w:val="0"/>
    <w:pPr>
      <w:widowControl w:val="0"/>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styleId="8">
    <w:name w:val="Normal Indent"/>
    <w:basedOn w:val="1"/>
    <w:link w:val="211"/>
    <w:autoRedefine/>
    <w:qFormat/>
    <w:uiPriority w:val="0"/>
    <w:pPr>
      <w:autoSpaceDE w:val="0"/>
      <w:autoSpaceDN w:val="0"/>
      <w:ind w:left="181" w:firstLine="420"/>
    </w:pPr>
    <w:rPr>
      <w:szCs w:val="20"/>
    </w:rPr>
  </w:style>
  <w:style w:type="paragraph" w:styleId="13">
    <w:name w:val="List 3"/>
    <w:basedOn w:val="1"/>
    <w:qFormat/>
    <w:uiPriority w:val="0"/>
    <w:pPr>
      <w:spacing w:line="240" w:lineRule="auto"/>
      <w:ind w:left="100" w:leftChars="400" w:hanging="200" w:hangingChars="200"/>
      <w:contextualSpacing/>
      <w:jc w:val="both"/>
    </w:pPr>
    <w:rPr>
      <w:rFonts w:ascii="Times New Roman" w:hAnsi="Times New Roman" w:cs="Times New Roman"/>
      <w:kern w:val="0"/>
      <w:sz w:val="20"/>
      <w:szCs w:val="20"/>
    </w:rPr>
  </w:style>
  <w:style w:type="paragraph" w:styleId="14">
    <w:name w:val="toc 7"/>
    <w:basedOn w:val="1"/>
    <w:next w:val="1"/>
    <w:autoRedefine/>
    <w:unhideWhenUsed/>
    <w:qFormat/>
    <w:uiPriority w:val="0"/>
    <w:pPr>
      <w:ind w:left="1440"/>
    </w:pPr>
    <w:rPr>
      <w:rFonts w:ascii="等线" w:eastAsia="等线"/>
      <w:sz w:val="18"/>
      <w:szCs w:val="18"/>
    </w:rPr>
  </w:style>
  <w:style w:type="paragraph" w:styleId="15">
    <w:name w:val="List Number 2"/>
    <w:basedOn w:val="1"/>
    <w:qFormat/>
    <w:uiPriority w:val="0"/>
    <w:pPr>
      <w:spacing w:line="240" w:lineRule="auto"/>
      <w:ind w:left="1049" w:hanging="420"/>
      <w:contextualSpacing/>
      <w:jc w:val="both"/>
    </w:pPr>
    <w:rPr>
      <w:rFonts w:ascii="Times New Roman" w:hAnsi="Times New Roman" w:cs="Times New Roman"/>
      <w:kern w:val="0"/>
      <w:sz w:val="20"/>
      <w:szCs w:val="20"/>
    </w:rPr>
  </w:style>
  <w:style w:type="paragraph" w:styleId="16">
    <w:name w:val="Note Heading"/>
    <w:basedOn w:val="1"/>
    <w:next w:val="1"/>
    <w:link w:val="124"/>
    <w:qFormat/>
    <w:uiPriority w:val="0"/>
    <w:pPr>
      <w:adjustRightInd w:val="0"/>
      <w:spacing w:line="312" w:lineRule="atLeast"/>
      <w:jc w:val="center"/>
      <w:textAlignment w:val="baseline"/>
    </w:pPr>
    <w:rPr>
      <w:rFonts w:ascii="等线" w:hAnsi="等线" w:eastAsia="等线" w:cs="Times New Roman"/>
      <w:sz w:val="21"/>
    </w:rPr>
  </w:style>
  <w:style w:type="paragraph" w:styleId="17">
    <w:name w:val="List Bullet 4"/>
    <w:basedOn w:val="1"/>
    <w:qFormat/>
    <w:uiPriority w:val="0"/>
    <w:pPr>
      <w:spacing w:line="240" w:lineRule="auto"/>
      <w:ind w:left="720" w:hanging="360"/>
      <w:contextualSpacing/>
      <w:jc w:val="both"/>
    </w:pPr>
    <w:rPr>
      <w:rFonts w:ascii="Times New Roman" w:hAnsi="Times New Roman" w:cs="Times New Roman"/>
      <w:kern w:val="0"/>
      <w:sz w:val="20"/>
      <w:szCs w:val="20"/>
    </w:rPr>
  </w:style>
  <w:style w:type="paragraph" w:styleId="18">
    <w:name w:val="index 8"/>
    <w:basedOn w:val="1"/>
    <w:next w:val="1"/>
    <w:qFormat/>
    <w:uiPriority w:val="0"/>
    <w:pPr>
      <w:spacing w:line="240" w:lineRule="auto"/>
      <w:ind w:left="1400" w:leftChars="1400"/>
      <w:jc w:val="both"/>
    </w:pPr>
    <w:rPr>
      <w:rFonts w:ascii="Times New Roman" w:hAnsi="Times New Roman" w:cs="Times New Roman"/>
      <w:kern w:val="0"/>
      <w:sz w:val="20"/>
      <w:szCs w:val="20"/>
    </w:rPr>
  </w:style>
  <w:style w:type="paragraph" w:styleId="19">
    <w:name w:val="List Number"/>
    <w:basedOn w:val="1"/>
    <w:qFormat/>
    <w:uiPriority w:val="0"/>
    <w:pPr>
      <w:numPr>
        <w:ilvl w:val="0"/>
        <w:numId w:val="1"/>
      </w:numPr>
      <w:adjustRightInd w:val="0"/>
      <w:spacing w:line="360" w:lineRule="atLeast"/>
      <w:jc w:val="both"/>
      <w:textAlignment w:val="baseline"/>
    </w:pPr>
    <w:rPr>
      <w:rFonts w:ascii="Times New Roman" w:hAnsi="Times New Roman" w:cs="Times New Roman"/>
      <w:kern w:val="0"/>
      <w:szCs w:val="20"/>
    </w:rPr>
  </w:style>
  <w:style w:type="paragraph" w:styleId="20">
    <w:name w:val="caption"/>
    <w:basedOn w:val="1"/>
    <w:next w:val="1"/>
    <w:link w:val="492"/>
    <w:qFormat/>
    <w:uiPriority w:val="0"/>
    <w:pPr>
      <w:spacing w:before="120" w:after="120" w:line="320" w:lineRule="atLeast"/>
      <w:jc w:val="center"/>
    </w:pPr>
    <w:rPr>
      <w:rFonts w:ascii="Times New Roman" w:hAnsi="Times New Roman" w:cs="Times New Roman"/>
      <w:kern w:val="0"/>
      <w:sz w:val="18"/>
      <w:szCs w:val="18"/>
    </w:rPr>
  </w:style>
  <w:style w:type="paragraph" w:styleId="21">
    <w:name w:val="index 5"/>
    <w:basedOn w:val="1"/>
    <w:next w:val="1"/>
    <w:qFormat/>
    <w:uiPriority w:val="0"/>
    <w:pPr>
      <w:spacing w:line="240" w:lineRule="auto"/>
      <w:ind w:left="800" w:leftChars="800"/>
      <w:jc w:val="both"/>
    </w:pPr>
    <w:rPr>
      <w:rFonts w:ascii="Times New Roman" w:hAnsi="Times New Roman" w:cs="Times New Roman"/>
      <w:kern w:val="0"/>
      <w:sz w:val="20"/>
      <w:szCs w:val="20"/>
    </w:rPr>
  </w:style>
  <w:style w:type="paragraph" w:styleId="22">
    <w:name w:val="List Bullet"/>
    <w:basedOn w:val="1"/>
    <w:unhideWhenUsed/>
    <w:qFormat/>
    <w:uiPriority w:val="0"/>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23">
    <w:name w:val="envelope address"/>
    <w:basedOn w:val="1"/>
    <w:qFormat/>
    <w:uiPriority w:val="0"/>
    <w:pPr>
      <w:snapToGrid w:val="0"/>
      <w:spacing w:line="240" w:lineRule="auto"/>
      <w:ind w:left="100" w:leftChars="1400"/>
      <w:jc w:val="both"/>
    </w:pPr>
    <w:rPr>
      <w:rFonts w:ascii="Cambria" w:hAnsi="Cambria" w:cs="Times New Roman"/>
      <w:kern w:val="0"/>
      <w:szCs w:val="20"/>
    </w:rPr>
  </w:style>
  <w:style w:type="paragraph" w:styleId="24">
    <w:name w:val="toa heading"/>
    <w:basedOn w:val="1"/>
    <w:next w:val="1"/>
    <w:qFormat/>
    <w:uiPriority w:val="0"/>
    <w:pPr>
      <w:spacing w:before="120" w:line="240" w:lineRule="auto"/>
      <w:jc w:val="both"/>
    </w:pPr>
    <w:rPr>
      <w:rFonts w:ascii="Cambria" w:hAnsi="Cambria" w:cs="Times New Roman"/>
      <w:kern w:val="0"/>
      <w:szCs w:val="20"/>
    </w:rPr>
  </w:style>
  <w:style w:type="paragraph" w:styleId="25">
    <w:name w:val="annotation text"/>
    <w:basedOn w:val="1"/>
    <w:link w:val="100"/>
    <w:autoRedefine/>
    <w:qFormat/>
    <w:uiPriority w:val="0"/>
    <w:pPr>
      <w:spacing w:line="240" w:lineRule="auto"/>
    </w:pPr>
    <w:rPr>
      <w:rFonts w:eastAsia="等线"/>
      <w:sz w:val="21"/>
      <w:szCs w:val="24"/>
    </w:rPr>
  </w:style>
  <w:style w:type="paragraph" w:styleId="26">
    <w:name w:val="index 6"/>
    <w:basedOn w:val="1"/>
    <w:next w:val="1"/>
    <w:qFormat/>
    <w:uiPriority w:val="0"/>
    <w:pPr>
      <w:spacing w:line="240" w:lineRule="auto"/>
      <w:ind w:left="1000" w:leftChars="1000"/>
      <w:jc w:val="both"/>
    </w:pPr>
    <w:rPr>
      <w:rFonts w:ascii="Times New Roman" w:hAnsi="Times New Roman" w:cs="Times New Roman"/>
      <w:kern w:val="0"/>
      <w:sz w:val="20"/>
      <w:szCs w:val="20"/>
    </w:rPr>
  </w:style>
  <w:style w:type="paragraph" w:styleId="27">
    <w:name w:val="Salutation"/>
    <w:basedOn w:val="1"/>
    <w:next w:val="1"/>
    <w:link w:val="125"/>
    <w:qFormat/>
    <w:uiPriority w:val="0"/>
    <w:pPr>
      <w:spacing w:line="240" w:lineRule="auto"/>
      <w:jc w:val="both"/>
    </w:pPr>
    <w:rPr>
      <w:rFonts w:ascii="等线" w:hAnsi="等线" w:eastAsia="等线" w:cs="Times New Roman"/>
      <w:sz w:val="21"/>
    </w:rPr>
  </w:style>
  <w:style w:type="paragraph" w:styleId="28">
    <w:name w:val="Body Text 3"/>
    <w:basedOn w:val="1"/>
    <w:link w:val="126"/>
    <w:qFormat/>
    <w:uiPriority w:val="0"/>
    <w:pPr>
      <w:spacing w:after="120" w:line="240" w:lineRule="auto"/>
      <w:jc w:val="both"/>
    </w:pPr>
    <w:rPr>
      <w:rFonts w:ascii="等线" w:hAnsi="等线" w:eastAsia="等线" w:cs="Times New Roman"/>
      <w:sz w:val="16"/>
      <w:szCs w:val="16"/>
    </w:rPr>
  </w:style>
  <w:style w:type="paragraph" w:styleId="29">
    <w:name w:val="Closing"/>
    <w:basedOn w:val="1"/>
    <w:link w:val="127"/>
    <w:qFormat/>
    <w:uiPriority w:val="0"/>
    <w:pPr>
      <w:spacing w:line="240" w:lineRule="auto"/>
      <w:ind w:left="100" w:leftChars="2100"/>
      <w:jc w:val="both"/>
    </w:pPr>
    <w:rPr>
      <w:rFonts w:ascii="等线" w:hAnsi="等线" w:eastAsia="等线" w:cs="Times New Roman"/>
      <w:sz w:val="32"/>
    </w:rPr>
  </w:style>
  <w:style w:type="paragraph" w:styleId="30">
    <w:name w:val="List Bullet 3"/>
    <w:basedOn w:val="1"/>
    <w:qFormat/>
    <w:uiPriority w:val="0"/>
    <w:pPr>
      <w:spacing w:line="240" w:lineRule="auto"/>
      <w:ind w:left="1134" w:hanging="1134"/>
      <w:contextualSpacing/>
      <w:jc w:val="both"/>
    </w:pPr>
    <w:rPr>
      <w:rFonts w:ascii="Times New Roman" w:hAnsi="Times New Roman" w:cs="Times New Roman"/>
      <w:kern w:val="0"/>
      <w:sz w:val="20"/>
      <w:szCs w:val="20"/>
    </w:rPr>
  </w:style>
  <w:style w:type="paragraph" w:styleId="31">
    <w:name w:val="Body Text"/>
    <w:basedOn w:val="1"/>
    <w:link w:val="103"/>
    <w:autoRedefine/>
    <w:qFormat/>
    <w:uiPriority w:val="0"/>
    <w:pPr>
      <w:spacing w:after="120" w:line="240" w:lineRule="auto"/>
      <w:jc w:val="both"/>
    </w:pPr>
    <w:rPr>
      <w:rFonts w:eastAsia="等线"/>
      <w:sz w:val="21"/>
      <w:szCs w:val="24"/>
    </w:rPr>
  </w:style>
  <w:style w:type="paragraph" w:styleId="32">
    <w:name w:val="Body Text Indent"/>
    <w:basedOn w:val="1"/>
    <w:link w:val="128"/>
    <w:autoRedefine/>
    <w:qFormat/>
    <w:uiPriority w:val="0"/>
    <w:pPr>
      <w:ind w:firstLine="830"/>
      <w:jc w:val="both"/>
    </w:pPr>
    <w:rPr>
      <w:rFonts w:ascii="仿宋_GB2312" w:eastAsia="仿宋_GB2312" w:cs="Times New Roman"/>
      <w:kern w:val="0"/>
      <w:sz w:val="32"/>
      <w:szCs w:val="32"/>
    </w:rPr>
  </w:style>
  <w:style w:type="paragraph" w:styleId="33">
    <w:name w:val="List Number 3"/>
    <w:basedOn w:val="1"/>
    <w:qFormat/>
    <w:uiPriority w:val="0"/>
    <w:pPr>
      <w:spacing w:line="240" w:lineRule="auto"/>
      <w:ind w:left="180" w:hanging="180"/>
      <w:contextualSpacing/>
      <w:jc w:val="both"/>
    </w:pPr>
    <w:rPr>
      <w:rFonts w:ascii="Times New Roman" w:hAnsi="Times New Roman" w:cs="Times New Roman"/>
      <w:kern w:val="0"/>
      <w:sz w:val="20"/>
      <w:szCs w:val="20"/>
    </w:rPr>
  </w:style>
  <w:style w:type="paragraph" w:styleId="34">
    <w:name w:val="List 2"/>
    <w:basedOn w:val="1"/>
    <w:qFormat/>
    <w:uiPriority w:val="0"/>
    <w:pPr>
      <w:spacing w:line="240" w:lineRule="auto"/>
      <w:ind w:left="100" w:leftChars="200" w:hanging="200" w:hangingChars="200"/>
      <w:contextualSpacing/>
      <w:jc w:val="both"/>
    </w:pPr>
    <w:rPr>
      <w:rFonts w:ascii="Times New Roman" w:hAnsi="Times New Roman" w:cs="Times New Roman"/>
      <w:kern w:val="0"/>
      <w:sz w:val="20"/>
      <w:szCs w:val="20"/>
    </w:rPr>
  </w:style>
  <w:style w:type="paragraph" w:styleId="35">
    <w:name w:val="List Continue"/>
    <w:basedOn w:val="1"/>
    <w:qFormat/>
    <w:uiPriority w:val="0"/>
    <w:pPr>
      <w:spacing w:after="120" w:line="240" w:lineRule="auto"/>
      <w:ind w:left="420" w:leftChars="200"/>
      <w:contextualSpacing/>
      <w:jc w:val="both"/>
    </w:pPr>
    <w:rPr>
      <w:rFonts w:ascii="Times New Roman" w:hAnsi="Times New Roman" w:cs="Times New Roman"/>
      <w:kern w:val="0"/>
      <w:sz w:val="20"/>
      <w:szCs w:val="20"/>
    </w:rPr>
  </w:style>
  <w:style w:type="paragraph" w:styleId="36">
    <w:name w:val="List Bullet 2"/>
    <w:basedOn w:val="1"/>
    <w:qFormat/>
    <w:uiPriority w:val="0"/>
    <w:pPr>
      <w:spacing w:line="240" w:lineRule="auto"/>
      <w:ind w:left="425" w:hanging="425"/>
      <w:contextualSpacing/>
      <w:jc w:val="both"/>
    </w:pPr>
    <w:rPr>
      <w:rFonts w:ascii="Times New Roman" w:hAnsi="Times New Roman" w:cs="Times New Roman"/>
      <w:kern w:val="0"/>
      <w:sz w:val="20"/>
      <w:szCs w:val="20"/>
    </w:rPr>
  </w:style>
  <w:style w:type="paragraph" w:styleId="37">
    <w:name w:val="index 4"/>
    <w:basedOn w:val="1"/>
    <w:next w:val="1"/>
    <w:qFormat/>
    <w:uiPriority w:val="0"/>
    <w:pPr>
      <w:spacing w:line="240" w:lineRule="auto"/>
      <w:ind w:left="600" w:leftChars="600"/>
      <w:jc w:val="both"/>
    </w:pPr>
    <w:rPr>
      <w:rFonts w:ascii="Times New Roman" w:hAnsi="Times New Roman" w:cs="Times New Roman"/>
      <w:kern w:val="0"/>
      <w:sz w:val="20"/>
      <w:szCs w:val="20"/>
    </w:rPr>
  </w:style>
  <w:style w:type="paragraph" w:styleId="38">
    <w:name w:val="toc 5"/>
    <w:basedOn w:val="1"/>
    <w:next w:val="1"/>
    <w:autoRedefine/>
    <w:unhideWhenUsed/>
    <w:qFormat/>
    <w:uiPriority w:val="0"/>
    <w:pPr>
      <w:ind w:left="960"/>
    </w:pPr>
    <w:rPr>
      <w:rFonts w:ascii="等线" w:eastAsia="等线"/>
      <w:sz w:val="18"/>
      <w:szCs w:val="18"/>
    </w:rPr>
  </w:style>
  <w:style w:type="paragraph" w:styleId="39">
    <w:name w:val="toc 3"/>
    <w:basedOn w:val="1"/>
    <w:next w:val="1"/>
    <w:autoRedefine/>
    <w:unhideWhenUsed/>
    <w:qFormat/>
    <w:uiPriority w:val="0"/>
    <w:pPr>
      <w:ind w:left="480"/>
    </w:pPr>
    <w:rPr>
      <w:rFonts w:ascii="等线" w:eastAsia="等线"/>
      <w:i/>
      <w:iCs/>
      <w:sz w:val="20"/>
      <w:szCs w:val="20"/>
    </w:rPr>
  </w:style>
  <w:style w:type="paragraph" w:styleId="40">
    <w:name w:val="Plain Text"/>
    <w:basedOn w:val="1"/>
    <w:link w:val="129"/>
    <w:autoRedefine/>
    <w:qFormat/>
    <w:uiPriority w:val="0"/>
    <w:rPr>
      <w:rFonts w:hAnsi="Courier New" w:cs="Times New Roman"/>
      <w:sz w:val="21"/>
    </w:rPr>
  </w:style>
  <w:style w:type="paragraph" w:styleId="41">
    <w:name w:val="List Bullet 5"/>
    <w:basedOn w:val="1"/>
    <w:qFormat/>
    <w:uiPriority w:val="0"/>
    <w:pPr>
      <w:spacing w:line="240" w:lineRule="auto"/>
      <w:ind w:left="720" w:hanging="360"/>
      <w:contextualSpacing/>
      <w:jc w:val="both"/>
    </w:pPr>
    <w:rPr>
      <w:rFonts w:ascii="Times New Roman" w:hAnsi="Times New Roman" w:cs="Times New Roman"/>
      <w:kern w:val="0"/>
      <w:sz w:val="20"/>
      <w:szCs w:val="20"/>
    </w:rPr>
  </w:style>
  <w:style w:type="paragraph" w:styleId="42">
    <w:name w:val="List Number 4"/>
    <w:basedOn w:val="1"/>
    <w:qFormat/>
    <w:uiPriority w:val="0"/>
    <w:pPr>
      <w:spacing w:line="240" w:lineRule="auto"/>
      <w:ind w:left="600" w:hanging="600"/>
      <w:contextualSpacing/>
      <w:jc w:val="both"/>
    </w:pPr>
    <w:rPr>
      <w:rFonts w:ascii="Times New Roman" w:hAnsi="Times New Roman" w:cs="Times New Roman"/>
      <w:kern w:val="0"/>
      <w:sz w:val="20"/>
      <w:szCs w:val="20"/>
    </w:rPr>
  </w:style>
  <w:style w:type="paragraph" w:styleId="43">
    <w:name w:val="toc 8"/>
    <w:basedOn w:val="1"/>
    <w:next w:val="1"/>
    <w:autoRedefine/>
    <w:unhideWhenUsed/>
    <w:qFormat/>
    <w:uiPriority w:val="0"/>
    <w:pPr>
      <w:ind w:left="1680"/>
    </w:pPr>
    <w:rPr>
      <w:rFonts w:ascii="等线" w:eastAsia="等线"/>
      <w:sz w:val="18"/>
      <w:szCs w:val="18"/>
    </w:rPr>
  </w:style>
  <w:style w:type="paragraph" w:styleId="44">
    <w:name w:val="index 3"/>
    <w:basedOn w:val="1"/>
    <w:next w:val="1"/>
    <w:qFormat/>
    <w:uiPriority w:val="0"/>
    <w:pPr>
      <w:spacing w:line="240" w:lineRule="auto"/>
      <w:ind w:left="400" w:leftChars="400"/>
      <w:jc w:val="both"/>
    </w:pPr>
    <w:rPr>
      <w:rFonts w:ascii="Times New Roman" w:hAnsi="Times New Roman" w:cs="Times New Roman"/>
      <w:kern w:val="0"/>
      <w:sz w:val="20"/>
      <w:szCs w:val="20"/>
    </w:rPr>
  </w:style>
  <w:style w:type="paragraph" w:styleId="45">
    <w:name w:val="Date"/>
    <w:basedOn w:val="1"/>
    <w:next w:val="1"/>
    <w:link w:val="131"/>
    <w:qFormat/>
    <w:uiPriority w:val="0"/>
    <w:pPr>
      <w:spacing w:line="240" w:lineRule="auto"/>
      <w:jc w:val="both"/>
    </w:pPr>
    <w:rPr>
      <w:rFonts w:ascii="等线" w:hAnsi="等线" w:eastAsia="等线" w:cs="Times New Roman"/>
      <w:sz w:val="21"/>
    </w:rPr>
  </w:style>
  <w:style w:type="paragraph" w:styleId="46">
    <w:name w:val="Body Text Indent 2"/>
    <w:basedOn w:val="1"/>
    <w:link w:val="132"/>
    <w:qFormat/>
    <w:uiPriority w:val="0"/>
    <w:pPr>
      <w:spacing w:line="480" w:lineRule="auto"/>
      <w:ind w:firstLine="540" w:firstLineChars="225"/>
      <w:jc w:val="both"/>
    </w:pPr>
    <w:rPr>
      <w:rFonts w:ascii="等线" w:hAnsi="等线" w:eastAsia="仿宋_GB2312" w:cs="Times New Roman"/>
      <w:szCs w:val="24"/>
    </w:rPr>
  </w:style>
  <w:style w:type="paragraph" w:styleId="47">
    <w:name w:val="endnote text"/>
    <w:basedOn w:val="1"/>
    <w:link w:val="133"/>
    <w:qFormat/>
    <w:uiPriority w:val="0"/>
    <w:pPr>
      <w:snapToGrid w:val="0"/>
      <w:spacing w:line="240" w:lineRule="auto"/>
    </w:pPr>
    <w:rPr>
      <w:rFonts w:ascii="等线" w:hAnsi="等线" w:eastAsia="等线" w:cs="Times New Roman"/>
      <w:sz w:val="21"/>
    </w:rPr>
  </w:style>
  <w:style w:type="paragraph" w:styleId="48">
    <w:name w:val="List Continue 5"/>
    <w:basedOn w:val="1"/>
    <w:qFormat/>
    <w:uiPriority w:val="0"/>
    <w:pPr>
      <w:spacing w:after="120" w:line="240" w:lineRule="auto"/>
      <w:ind w:left="2100" w:leftChars="1000"/>
      <w:contextualSpacing/>
      <w:jc w:val="both"/>
    </w:pPr>
    <w:rPr>
      <w:rFonts w:ascii="Times New Roman" w:hAnsi="Times New Roman" w:cs="Times New Roman"/>
      <w:kern w:val="0"/>
      <w:sz w:val="20"/>
      <w:szCs w:val="20"/>
    </w:rPr>
  </w:style>
  <w:style w:type="paragraph" w:styleId="49">
    <w:name w:val="Balloon Text"/>
    <w:basedOn w:val="1"/>
    <w:link w:val="112"/>
    <w:unhideWhenUsed/>
    <w:qFormat/>
    <w:uiPriority w:val="0"/>
    <w:pPr>
      <w:spacing w:line="240" w:lineRule="auto"/>
    </w:pPr>
    <w:rPr>
      <w:sz w:val="18"/>
      <w:szCs w:val="18"/>
    </w:rPr>
  </w:style>
  <w:style w:type="paragraph" w:styleId="50">
    <w:name w:val="footer"/>
    <w:basedOn w:val="1"/>
    <w:link w:val="98"/>
    <w:autoRedefine/>
    <w:unhideWhenUsed/>
    <w:qFormat/>
    <w:uiPriority w:val="0"/>
    <w:pPr>
      <w:tabs>
        <w:tab w:val="center" w:pos="4153"/>
        <w:tab w:val="right" w:pos="8306"/>
      </w:tabs>
      <w:snapToGrid w:val="0"/>
      <w:spacing w:line="240" w:lineRule="auto"/>
    </w:pPr>
    <w:rPr>
      <w:sz w:val="18"/>
      <w:szCs w:val="18"/>
    </w:rPr>
  </w:style>
  <w:style w:type="paragraph" w:styleId="51">
    <w:name w:val="envelope return"/>
    <w:basedOn w:val="1"/>
    <w:qFormat/>
    <w:uiPriority w:val="0"/>
    <w:pPr>
      <w:snapToGrid w:val="0"/>
      <w:spacing w:line="240" w:lineRule="auto"/>
      <w:jc w:val="both"/>
    </w:pPr>
    <w:rPr>
      <w:rFonts w:ascii="Cambria" w:hAnsi="Cambria" w:cs="Times New Roman"/>
      <w:kern w:val="0"/>
      <w:sz w:val="20"/>
      <w:szCs w:val="20"/>
    </w:rPr>
  </w:style>
  <w:style w:type="paragraph" w:styleId="52">
    <w:name w:val="header"/>
    <w:basedOn w:val="1"/>
    <w:link w:val="97"/>
    <w:autoRedefine/>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3">
    <w:name w:val="Signature"/>
    <w:basedOn w:val="1"/>
    <w:link w:val="134"/>
    <w:qFormat/>
    <w:uiPriority w:val="0"/>
    <w:pPr>
      <w:spacing w:line="240" w:lineRule="auto"/>
      <w:ind w:left="100" w:leftChars="2100"/>
      <w:jc w:val="both"/>
    </w:pPr>
    <w:rPr>
      <w:rFonts w:ascii="等线" w:hAnsi="等线" w:eastAsia="等线" w:cs="Times New Roman"/>
      <w:sz w:val="21"/>
    </w:rPr>
  </w:style>
  <w:style w:type="paragraph" w:styleId="54">
    <w:name w:val="toc 1"/>
    <w:basedOn w:val="1"/>
    <w:next w:val="1"/>
    <w:autoRedefine/>
    <w:unhideWhenUsed/>
    <w:qFormat/>
    <w:uiPriority w:val="0"/>
    <w:pPr>
      <w:spacing w:before="120" w:after="120"/>
    </w:pPr>
    <w:rPr>
      <w:rFonts w:ascii="等线" w:eastAsia="等线"/>
      <w:b/>
      <w:bCs/>
      <w:caps/>
      <w:sz w:val="20"/>
      <w:szCs w:val="20"/>
    </w:rPr>
  </w:style>
  <w:style w:type="paragraph" w:styleId="55">
    <w:name w:val="List Continue 4"/>
    <w:basedOn w:val="1"/>
    <w:qFormat/>
    <w:uiPriority w:val="0"/>
    <w:pPr>
      <w:spacing w:after="120" w:line="240" w:lineRule="auto"/>
      <w:ind w:left="1680" w:leftChars="800"/>
      <w:contextualSpacing/>
      <w:jc w:val="both"/>
    </w:pPr>
    <w:rPr>
      <w:rFonts w:ascii="Times New Roman" w:hAnsi="Times New Roman" w:cs="Times New Roman"/>
      <w:kern w:val="0"/>
      <w:sz w:val="20"/>
      <w:szCs w:val="20"/>
    </w:rPr>
  </w:style>
  <w:style w:type="paragraph" w:styleId="56">
    <w:name w:val="toc 4"/>
    <w:basedOn w:val="1"/>
    <w:next w:val="1"/>
    <w:unhideWhenUsed/>
    <w:qFormat/>
    <w:uiPriority w:val="0"/>
    <w:pPr>
      <w:ind w:left="720"/>
    </w:pPr>
    <w:rPr>
      <w:rFonts w:ascii="等线" w:eastAsia="等线"/>
      <w:sz w:val="18"/>
      <w:szCs w:val="18"/>
    </w:rPr>
  </w:style>
  <w:style w:type="paragraph" w:styleId="57">
    <w:name w:val="index heading"/>
    <w:basedOn w:val="1"/>
    <w:next w:val="58"/>
    <w:qFormat/>
    <w:uiPriority w:val="0"/>
    <w:pPr>
      <w:spacing w:line="240" w:lineRule="auto"/>
      <w:jc w:val="both"/>
    </w:pPr>
    <w:rPr>
      <w:rFonts w:ascii="Cambria" w:hAnsi="Cambria" w:cs="Times New Roman"/>
      <w:b/>
      <w:kern w:val="0"/>
      <w:sz w:val="20"/>
      <w:szCs w:val="20"/>
    </w:rPr>
  </w:style>
  <w:style w:type="paragraph" w:styleId="58">
    <w:name w:val="index 1"/>
    <w:basedOn w:val="1"/>
    <w:next w:val="1"/>
    <w:autoRedefine/>
    <w:unhideWhenUsed/>
    <w:qFormat/>
    <w:uiPriority w:val="0"/>
    <w:pPr>
      <w:jc w:val="both"/>
    </w:pPr>
    <w:rPr>
      <w:rFonts w:ascii="Calibri" w:hAnsi="Calibri" w:cs="Times New Roman"/>
      <w:sz w:val="21"/>
    </w:rPr>
  </w:style>
  <w:style w:type="paragraph" w:styleId="59">
    <w:name w:val="Subtitle"/>
    <w:basedOn w:val="1"/>
    <w:next w:val="1"/>
    <w:link w:val="135"/>
    <w:qFormat/>
    <w:uiPriority w:val="0"/>
    <w:pPr>
      <w:spacing w:before="240" w:after="60" w:line="312" w:lineRule="auto"/>
      <w:jc w:val="center"/>
      <w:outlineLvl w:val="1"/>
    </w:pPr>
    <w:rPr>
      <w:rFonts w:ascii="Cambria" w:hAnsi="Cambria" w:eastAsia="等线" w:cs="Times New Roman"/>
      <w:b/>
      <w:kern w:val="28"/>
      <w:sz w:val="32"/>
      <w:szCs w:val="32"/>
    </w:rPr>
  </w:style>
  <w:style w:type="paragraph" w:styleId="60">
    <w:name w:val="List Number 5"/>
    <w:basedOn w:val="1"/>
    <w:qFormat/>
    <w:uiPriority w:val="0"/>
    <w:pPr>
      <w:spacing w:line="240" w:lineRule="auto"/>
      <w:ind w:left="1049" w:hanging="420"/>
      <w:contextualSpacing/>
      <w:jc w:val="both"/>
    </w:pPr>
    <w:rPr>
      <w:rFonts w:ascii="Times New Roman" w:hAnsi="Times New Roman" w:cs="Times New Roman"/>
      <w:kern w:val="0"/>
      <w:sz w:val="20"/>
      <w:szCs w:val="20"/>
    </w:rPr>
  </w:style>
  <w:style w:type="paragraph" w:styleId="61">
    <w:name w:val="List"/>
    <w:basedOn w:val="34"/>
    <w:qFormat/>
    <w:uiPriority w:val="0"/>
    <w:pPr>
      <w:suppressAutoHyphens/>
    </w:pPr>
    <w:rPr>
      <w:kern w:val="1"/>
      <w:lang w:eastAsia="ar-SA"/>
    </w:rPr>
  </w:style>
  <w:style w:type="paragraph" w:styleId="62">
    <w:name w:val="footnote text"/>
    <w:basedOn w:val="1"/>
    <w:link w:val="136"/>
    <w:qFormat/>
    <w:uiPriority w:val="0"/>
    <w:pPr>
      <w:snapToGrid w:val="0"/>
      <w:spacing w:line="240" w:lineRule="auto"/>
    </w:pPr>
    <w:rPr>
      <w:rFonts w:ascii="等线" w:hAnsi="等线" w:eastAsia="等线" w:cs="Times New Roman"/>
      <w:sz w:val="18"/>
      <w:szCs w:val="18"/>
    </w:rPr>
  </w:style>
  <w:style w:type="paragraph" w:styleId="63">
    <w:name w:val="toc 6"/>
    <w:basedOn w:val="1"/>
    <w:next w:val="1"/>
    <w:autoRedefine/>
    <w:unhideWhenUsed/>
    <w:qFormat/>
    <w:uiPriority w:val="0"/>
    <w:pPr>
      <w:ind w:left="1200"/>
    </w:pPr>
    <w:rPr>
      <w:rFonts w:ascii="等线" w:eastAsia="等线"/>
      <w:sz w:val="18"/>
      <w:szCs w:val="18"/>
    </w:rPr>
  </w:style>
  <w:style w:type="paragraph" w:styleId="64">
    <w:name w:val="List 5"/>
    <w:basedOn w:val="1"/>
    <w:qFormat/>
    <w:uiPriority w:val="0"/>
    <w:pPr>
      <w:spacing w:line="240" w:lineRule="auto"/>
      <w:ind w:left="100" w:leftChars="800" w:hanging="200" w:hangingChars="200"/>
      <w:contextualSpacing/>
      <w:jc w:val="both"/>
    </w:pPr>
    <w:rPr>
      <w:rFonts w:ascii="Times New Roman" w:hAnsi="Times New Roman" w:cs="Times New Roman"/>
      <w:kern w:val="0"/>
      <w:sz w:val="20"/>
      <w:szCs w:val="20"/>
    </w:rPr>
  </w:style>
  <w:style w:type="paragraph" w:styleId="65">
    <w:name w:val="Body Text Indent 3"/>
    <w:basedOn w:val="1"/>
    <w:link w:val="137"/>
    <w:qFormat/>
    <w:uiPriority w:val="0"/>
    <w:pPr>
      <w:spacing w:line="240" w:lineRule="auto"/>
      <w:ind w:firstLine="600" w:firstLineChars="200"/>
      <w:jc w:val="both"/>
    </w:pPr>
    <w:rPr>
      <w:rFonts w:ascii="等线" w:hAnsi="等线" w:eastAsia="等线" w:cs="Times New Roman"/>
      <w:color w:val="FF0000"/>
      <w:sz w:val="30"/>
    </w:rPr>
  </w:style>
  <w:style w:type="paragraph" w:styleId="66">
    <w:name w:val="index 7"/>
    <w:basedOn w:val="1"/>
    <w:next w:val="1"/>
    <w:qFormat/>
    <w:uiPriority w:val="0"/>
    <w:pPr>
      <w:spacing w:line="240" w:lineRule="auto"/>
      <w:ind w:left="1200" w:leftChars="1200"/>
      <w:jc w:val="both"/>
    </w:pPr>
    <w:rPr>
      <w:rFonts w:ascii="Times New Roman" w:hAnsi="Times New Roman" w:cs="Times New Roman"/>
      <w:kern w:val="0"/>
      <w:sz w:val="20"/>
      <w:szCs w:val="20"/>
    </w:rPr>
  </w:style>
  <w:style w:type="paragraph" w:styleId="67">
    <w:name w:val="index 9"/>
    <w:basedOn w:val="1"/>
    <w:next w:val="1"/>
    <w:qFormat/>
    <w:uiPriority w:val="0"/>
    <w:pPr>
      <w:spacing w:line="240" w:lineRule="auto"/>
      <w:ind w:left="1600" w:leftChars="1600"/>
      <w:jc w:val="both"/>
    </w:pPr>
    <w:rPr>
      <w:rFonts w:ascii="Times New Roman" w:hAnsi="Times New Roman" w:cs="Times New Roman"/>
      <w:kern w:val="0"/>
      <w:sz w:val="20"/>
      <w:szCs w:val="20"/>
    </w:rPr>
  </w:style>
  <w:style w:type="paragraph" w:styleId="68">
    <w:name w:val="toc 2"/>
    <w:basedOn w:val="1"/>
    <w:next w:val="1"/>
    <w:autoRedefine/>
    <w:unhideWhenUsed/>
    <w:qFormat/>
    <w:uiPriority w:val="0"/>
    <w:pPr>
      <w:ind w:left="240"/>
    </w:pPr>
    <w:rPr>
      <w:rFonts w:ascii="等线" w:eastAsia="等线"/>
      <w:smallCaps/>
      <w:sz w:val="20"/>
      <w:szCs w:val="20"/>
    </w:rPr>
  </w:style>
  <w:style w:type="paragraph" w:styleId="69">
    <w:name w:val="toc 9"/>
    <w:basedOn w:val="1"/>
    <w:next w:val="1"/>
    <w:autoRedefine/>
    <w:unhideWhenUsed/>
    <w:qFormat/>
    <w:uiPriority w:val="0"/>
    <w:pPr>
      <w:ind w:left="1920"/>
    </w:pPr>
    <w:rPr>
      <w:rFonts w:ascii="等线" w:eastAsia="等线"/>
      <w:sz w:val="18"/>
      <w:szCs w:val="18"/>
    </w:rPr>
  </w:style>
  <w:style w:type="paragraph" w:styleId="70">
    <w:name w:val="Body Text 2"/>
    <w:basedOn w:val="1"/>
    <w:link w:val="138"/>
    <w:qFormat/>
    <w:uiPriority w:val="0"/>
    <w:pPr>
      <w:spacing w:line="240" w:lineRule="auto"/>
      <w:jc w:val="both"/>
    </w:pPr>
    <w:rPr>
      <w:rFonts w:ascii="等线" w:hAnsi="等线" w:eastAsia="等线" w:cs="Times New Roman"/>
      <w:color w:val="FF0000"/>
      <w:sz w:val="21"/>
      <w:szCs w:val="24"/>
    </w:rPr>
  </w:style>
  <w:style w:type="paragraph" w:styleId="71">
    <w:name w:val="List 4"/>
    <w:basedOn w:val="1"/>
    <w:qFormat/>
    <w:uiPriority w:val="0"/>
    <w:pPr>
      <w:spacing w:line="240" w:lineRule="auto"/>
      <w:ind w:left="100" w:leftChars="600" w:hanging="200" w:hangingChars="200"/>
      <w:contextualSpacing/>
      <w:jc w:val="both"/>
    </w:pPr>
    <w:rPr>
      <w:rFonts w:ascii="Times New Roman" w:hAnsi="Times New Roman" w:cs="Times New Roman"/>
      <w:kern w:val="0"/>
      <w:sz w:val="20"/>
      <w:szCs w:val="20"/>
    </w:rPr>
  </w:style>
  <w:style w:type="paragraph" w:styleId="72">
    <w:name w:val="List Continue 2"/>
    <w:basedOn w:val="1"/>
    <w:qFormat/>
    <w:uiPriority w:val="0"/>
    <w:pPr>
      <w:spacing w:after="120" w:line="240" w:lineRule="auto"/>
      <w:ind w:left="840" w:leftChars="400"/>
      <w:contextualSpacing/>
      <w:jc w:val="both"/>
    </w:pPr>
    <w:rPr>
      <w:rFonts w:ascii="Times New Roman" w:hAnsi="Times New Roman" w:cs="Times New Roman"/>
      <w:kern w:val="0"/>
      <w:sz w:val="20"/>
      <w:szCs w:val="20"/>
    </w:rPr>
  </w:style>
  <w:style w:type="paragraph" w:styleId="73">
    <w:name w:val="Message Header"/>
    <w:basedOn w:val="1"/>
    <w:link w:val="139"/>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Cambria" w:hAnsi="Cambria" w:eastAsia="等线" w:cs="Times New Roman"/>
      <w:szCs w:val="24"/>
    </w:rPr>
  </w:style>
  <w:style w:type="paragraph" w:styleId="74">
    <w:name w:val="Normal (Web)"/>
    <w:basedOn w:val="1"/>
    <w:autoRedefine/>
    <w:qFormat/>
    <w:uiPriority w:val="99"/>
    <w:pPr>
      <w:widowControl/>
      <w:spacing w:before="100" w:beforeAutospacing="1" w:after="100" w:afterAutospacing="1"/>
    </w:pPr>
    <w:rPr>
      <w:rFonts w:cs="宋体"/>
      <w:color w:val="000000"/>
      <w:kern w:val="0"/>
      <w:szCs w:val="24"/>
    </w:rPr>
  </w:style>
  <w:style w:type="paragraph" w:styleId="75">
    <w:name w:val="List Continue 3"/>
    <w:basedOn w:val="1"/>
    <w:qFormat/>
    <w:uiPriority w:val="0"/>
    <w:pPr>
      <w:spacing w:after="120" w:line="240" w:lineRule="auto"/>
      <w:ind w:left="1260" w:leftChars="600"/>
      <w:contextualSpacing/>
      <w:jc w:val="both"/>
    </w:pPr>
    <w:rPr>
      <w:rFonts w:ascii="Times New Roman" w:hAnsi="Times New Roman" w:cs="Times New Roman"/>
      <w:kern w:val="0"/>
      <w:sz w:val="20"/>
      <w:szCs w:val="20"/>
    </w:rPr>
  </w:style>
  <w:style w:type="paragraph" w:styleId="76">
    <w:name w:val="index 2"/>
    <w:basedOn w:val="1"/>
    <w:next w:val="1"/>
    <w:qFormat/>
    <w:uiPriority w:val="0"/>
    <w:pPr>
      <w:spacing w:line="240" w:lineRule="auto"/>
      <w:ind w:left="200" w:leftChars="200"/>
      <w:jc w:val="both"/>
    </w:pPr>
    <w:rPr>
      <w:rFonts w:ascii="Times New Roman" w:hAnsi="Times New Roman" w:cs="Times New Roman"/>
      <w:kern w:val="0"/>
      <w:sz w:val="20"/>
      <w:szCs w:val="20"/>
    </w:rPr>
  </w:style>
  <w:style w:type="paragraph" w:styleId="77">
    <w:name w:val="Title"/>
    <w:basedOn w:val="1"/>
    <w:next w:val="1"/>
    <w:link w:val="140"/>
    <w:qFormat/>
    <w:uiPriority w:val="0"/>
    <w:pPr>
      <w:spacing w:before="240" w:after="60" w:line="240" w:lineRule="auto"/>
      <w:jc w:val="center"/>
      <w:outlineLvl w:val="0"/>
    </w:pPr>
    <w:rPr>
      <w:rFonts w:ascii="Cambria" w:hAnsi="Cambria" w:eastAsia="等线" w:cs="Times New Roman"/>
      <w:b/>
      <w:sz w:val="32"/>
      <w:szCs w:val="32"/>
    </w:rPr>
  </w:style>
  <w:style w:type="paragraph" w:styleId="78">
    <w:name w:val="annotation subject"/>
    <w:basedOn w:val="25"/>
    <w:next w:val="25"/>
    <w:link w:val="105"/>
    <w:autoRedefine/>
    <w:semiHidden/>
    <w:unhideWhenUsed/>
    <w:qFormat/>
    <w:uiPriority w:val="99"/>
    <w:pPr>
      <w:spacing w:line="360" w:lineRule="auto"/>
    </w:pPr>
    <w:rPr>
      <w:rFonts w:eastAsia="宋体"/>
      <w:b/>
      <w:bCs/>
      <w:sz w:val="24"/>
      <w:szCs w:val="22"/>
    </w:rPr>
  </w:style>
  <w:style w:type="paragraph" w:styleId="79">
    <w:name w:val="Body Text First Indent"/>
    <w:basedOn w:val="31"/>
    <w:next w:val="1"/>
    <w:qFormat/>
    <w:uiPriority w:val="0"/>
    <w:pPr>
      <w:tabs>
        <w:tab w:val="left" w:pos="208"/>
      </w:tabs>
      <w:ind w:firstLine="420" w:firstLineChars="100"/>
    </w:pPr>
    <w:rPr>
      <w:rFonts w:ascii="Times New Roman" w:eastAsia="宋体"/>
    </w:rPr>
  </w:style>
  <w:style w:type="paragraph" w:styleId="80">
    <w:name w:val="Body Text First Indent 2"/>
    <w:basedOn w:val="32"/>
    <w:autoRedefine/>
    <w:qFormat/>
    <w:uiPriority w:val="0"/>
    <w:pPr>
      <w:spacing w:after="120"/>
      <w:ind w:left="420" w:firstLine="420"/>
    </w:pPr>
    <w:rPr>
      <w:rFonts w:ascii="Times New Roman" w:hAnsi="Times New Roman"/>
      <w:sz w:val="21"/>
      <w:szCs w:val="21"/>
    </w:rPr>
  </w:style>
  <w:style w:type="table" w:styleId="82">
    <w:name w:val="Table Grid"/>
    <w:basedOn w:val="81"/>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qFormat/>
    <w:uiPriority w:val="0"/>
    <w:rPr>
      <w:b/>
    </w:rPr>
  </w:style>
  <w:style w:type="character" w:styleId="85">
    <w:name w:val="endnote reference"/>
    <w:qFormat/>
    <w:uiPriority w:val="0"/>
    <w:rPr>
      <w:vertAlign w:val="superscript"/>
    </w:rPr>
  </w:style>
  <w:style w:type="character" w:styleId="86">
    <w:name w:val="page number"/>
    <w:basedOn w:val="83"/>
    <w:qFormat/>
    <w:uiPriority w:val="0"/>
  </w:style>
  <w:style w:type="character" w:styleId="87">
    <w:name w:val="FollowedHyperlink"/>
    <w:qFormat/>
    <w:uiPriority w:val="0"/>
    <w:rPr>
      <w:color w:val="800080"/>
      <w:u w:val="single"/>
    </w:rPr>
  </w:style>
  <w:style w:type="character" w:styleId="88">
    <w:name w:val="Emphasis"/>
    <w:qFormat/>
    <w:uiPriority w:val="0"/>
    <w:rPr>
      <w:i/>
      <w:iCs/>
    </w:rPr>
  </w:style>
  <w:style w:type="character" w:styleId="89">
    <w:name w:val="Hyperlink"/>
    <w:basedOn w:val="83"/>
    <w:autoRedefine/>
    <w:unhideWhenUsed/>
    <w:qFormat/>
    <w:uiPriority w:val="0"/>
    <w:rPr>
      <w:color w:val="0563C1"/>
      <w:u w:val="single"/>
    </w:rPr>
  </w:style>
  <w:style w:type="character" w:styleId="90">
    <w:name w:val="annotation reference"/>
    <w:autoRedefine/>
    <w:qFormat/>
    <w:uiPriority w:val="0"/>
    <w:rPr>
      <w:sz w:val="21"/>
      <w:szCs w:val="21"/>
    </w:rPr>
  </w:style>
  <w:style w:type="paragraph" w:customStyle="1" w:styleId="91">
    <w:name w:val="正文缩进2"/>
    <w:basedOn w:val="1"/>
    <w:autoRedefine/>
    <w:qFormat/>
    <w:uiPriority w:val="0"/>
    <w:pPr>
      <w:wordWrap w:val="0"/>
      <w:ind w:firstLine="480"/>
    </w:pPr>
    <w:rPr>
      <w:iCs/>
      <w:snapToGrid w:val="0"/>
      <w:shd w:val="clear" w:color="auto" w:fill="FFFFFF"/>
      <w:lang w:val="zh-CN"/>
    </w:rPr>
  </w:style>
  <w:style w:type="paragraph" w:customStyle="1" w:styleId="92">
    <w:name w:val="列表段落1"/>
    <w:basedOn w:val="1"/>
    <w:link w:val="142"/>
    <w:qFormat/>
    <w:uiPriority w:val="0"/>
    <w:pPr>
      <w:numPr>
        <w:ilvl w:val="0"/>
        <w:numId w:val="2"/>
      </w:numPr>
    </w:pPr>
  </w:style>
  <w:style w:type="paragraph" w:customStyle="1" w:styleId="93">
    <w:name w:val="Char1 Char Char Char"/>
    <w:basedOn w:val="1"/>
    <w:qFormat/>
    <w:uiPriority w:val="0"/>
    <w:pPr>
      <w:adjustRightInd w:val="0"/>
      <w:jc w:val="both"/>
    </w:pPr>
    <w:rPr>
      <w:rFonts w:ascii="Times New Roman" w:hAnsi="Times New Roman" w:cs="Times New Roman"/>
      <w:kern w:val="0"/>
      <w:szCs w:val="20"/>
    </w:rPr>
  </w:style>
  <w:style w:type="paragraph" w:customStyle="1" w:styleId="94">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customStyle="1" w:styleId="95">
    <w:name w:val="无间隔1"/>
    <w:link w:val="712"/>
    <w:qFormat/>
    <w:uiPriority w:val="0"/>
    <w:pPr>
      <w:widowControl w:val="0"/>
    </w:pPr>
    <w:rPr>
      <w:rFonts w:ascii="宋体" w:hAnsi="宋体" w:eastAsia="宋体" w:cs="黑体"/>
      <w:kern w:val="2"/>
      <w:sz w:val="24"/>
      <w:szCs w:val="22"/>
      <w:lang w:val="en-US" w:eastAsia="zh-CN" w:bidi="ar-SA"/>
    </w:rPr>
  </w:style>
  <w:style w:type="character" w:customStyle="1" w:styleId="96">
    <w:name w:val="标题 1 字符"/>
    <w:basedOn w:val="83"/>
    <w:link w:val="3"/>
    <w:autoRedefine/>
    <w:qFormat/>
    <w:uiPriority w:val="0"/>
    <w:rPr>
      <w:rFonts w:eastAsia="黑体"/>
      <w:b/>
      <w:bCs/>
      <w:kern w:val="44"/>
      <w:sz w:val="44"/>
      <w:szCs w:val="44"/>
    </w:rPr>
  </w:style>
  <w:style w:type="character" w:customStyle="1" w:styleId="97">
    <w:name w:val="页眉 字符"/>
    <w:basedOn w:val="83"/>
    <w:link w:val="52"/>
    <w:qFormat/>
    <w:uiPriority w:val="0"/>
    <w:rPr>
      <w:rFonts w:eastAsia="宋体"/>
      <w:sz w:val="18"/>
      <w:szCs w:val="18"/>
    </w:rPr>
  </w:style>
  <w:style w:type="character" w:customStyle="1" w:styleId="98">
    <w:name w:val="页脚 字符"/>
    <w:basedOn w:val="83"/>
    <w:link w:val="50"/>
    <w:autoRedefine/>
    <w:qFormat/>
    <w:uiPriority w:val="0"/>
    <w:rPr>
      <w:rFonts w:eastAsia="宋体"/>
      <w:sz w:val="18"/>
      <w:szCs w:val="18"/>
    </w:rPr>
  </w:style>
  <w:style w:type="character" w:customStyle="1" w:styleId="99">
    <w:name w:val="标题 2 字符"/>
    <w:basedOn w:val="83"/>
    <w:link w:val="4"/>
    <w:autoRedefine/>
    <w:qFormat/>
    <w:uiPriority w:val="0"/>
    <w:rPr>
      <w:rFonts w:ascii="等线 Light" w:hAnsi="等线 Light" w:eastAsia="宋体" w:cs="黑体"/>
      <w:b/>
      <w:bCs/>
      <w:sz w:val="32"/>
      <w:szCs w:val="32"/>
    </w:rPr>
  </w:style>
  <w:style w:type="character" w:customStyle="1" w:styleId="100">
    <w:name w:val="批注文字 字符"/>
    <w:basedOn w:val="83"/>
    <w:link w:val="25"/>
    <w:autoRedefine/>
    <w:qFormat/>
    <w:uiPriority w:val="0"/>
    <w:rPr>
      <w:szCs w:val="24"/>
    </w:rPr>
  </w:style>
  <w:style w:type="character" w:customStyle="1" w:styleId="101">
    <w:name w:val="标题 3 字符"/>
    <w:basedOn w:val="83"/>
    <w:link w:val="5"/>
    <w:autoRedefine/>
    <w:qFormat/>
    <w:uiPriority w:val="0"/>
    <w:rPr>
      <w:rFonts w:eastAsia="宋体"/>
      <w:b/>
      <w:bCs/>
      <w:sz w:val="30"/>
      <w:szCs w:val="32"/>
    </w:rPr>
  </w:style>
  <w:style w:type="character" w:customStyle="1" w:styleId="102">
    <w:name w:val="标题 4 字符"/>
    <w:basedOn w:val="83"/>
    <w:link w:val="6"/>
    <w:qFormat/>
    <w:uiPriority w:val="0"/>
    <w:rPr>
      <w:rFonts w:ascii="等线 Light" w:hAnsi="等线 Light" w:eastAsia="宋体" w:cs="黑体"/>
      <w:b/>
      <w:bCs/>
      <w:sz w:val="28"/>
      <w:szCs w:val="28"/>
    </w:rPr>
  </w:style>
  <w:style w:type="character" w:customStyle="1" w:styleId="103">
    <w:name w:val="正文文本 字符"/>
    <w:basedOn w:val="83"/>
    <w:link w:val="31"/>
    <w:autoRedefine/>
    <w:qFormat/>
    <w:uiPriority w:val="0"/>
    <w:rPr>
      <w:szCs w:val="24"/>
    </w:rPr>
  </w:style>
  <w:style w:type="character" w:customStyle="1" w:styleId="104">
    <w:name w:val="未处理的提及1"/>
    <w:basedOn w:val="83"/>
    <w:autoRedefine/>
    <w:unhideWhenUsed/>
    <w:qFormat/>
    <w:uiPriority w:val="0"/>
    <w:rPr>
      <w:color w:val="605E5C"/>
      <w:shd w:val="clear" w:color="auto" w:fill="E1DFDD"/>
    </w:rPr>
  </w:style>
  <w:style w:type="character" w:customStyle="1" w:styleId="105">
    <w:name w:val="批注主题 字符"/>
    <w:basedOn w:val="100"/>
    <w:link w:val="78"/>
    <w:autoRedefine/>
    <w:qFormat/>
    <w:uiPriority w:val="0"/>
    <w:rPr>
      <w:rFonts w:ascii="宋体" w:hAnsi="宋体" w:cs="黑体"/>
      <w:b/>
      <w:bCs/>
      <w:kern w:val="2"/>
      <w:sz w:val="24"/>
      <w:szCs w:val="22"/>
    </w:rPr>
  </w:style>
  <w:style w:type="character" w:customStyle="1" w:styleId="106">
    <w:name w:val="未处理的提及2"/>
    <w:basedOn w:val="83"/>
    <w:autoRedefine/>
    <w:unhideWhenUsed/>
    <w:qFormat/>
    <w:uiPriority w:val="0"/>
    <w:rPr>
      <w:color w:val="605E5C"/>
      <w:shd w:val="clear" w:color="auto" w:fill="E1DFDD"/>
    </w:rPr>
  </w:style>
  <w:style w:type="paragraph" w:customStyle="1" w:styleId="107">
    <w:name w:val="样式6"/>
    <w:basedOn w:val="92"/>
    <w:autoRedefine/>
    <w:qFormat/>
    <w:uiPriority w:val="0"/>
    <w:pPr>
      <w:numPr>
        <w:ilvl w:val="1"/>
        <w:numId w:val="3"/>
      </w:numPr>
      <w:spacing w:line="276" w:lineRule="auto"/>
      <w:ind w:firstLine="0"/>
    </w:pPr>
    <w:rPr>
      <w:szCs w:val="21"/>
    </w:rPr>
  </w:style>
  <w:style w:type="paragraph" w:customStyle="1" w:styleId="108">
    <w:name w:val="表格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109">
    <w:name w:val="目录"/>
    <w:basedOn w:val="1"/>
    <w:next w:val="92"/>
    <w:autoRedefine/>
    <w:qFormat/>
    <w:uiPriority w:val="0"/>
    <w:pPr>
      <w:ind w:firstLine="420" w:firstLineChars="200"/>
    </w:pPr>
    <w:rPr>
      <w:rFonts w:ascii="Calibri" w:hAnsi="Calibri" w:cs="Times New Roman"/>
    </w:rPr>
  </w:style>
  <w:style w:type="paragraph" w:styleId="110">
    <w:name w:val="List Paragraph"/>
    <w:basedOn w:val="1"/>
    <w:unhideWhenUsed/>
    <w:qFormat/>
    <w:uiPriority w:val="99"/>
    <w:pPr>
      <w:ind w:firstLine="420" w:firstLineChars="200"/>
    </w:pPr>
  </w:style>
  <w:style w:type="character" w:customStyle="1" w:styleId="111">
    <w:name w:val="NormalCharacter"/>
    <w:qFormat/>
    <w:uiPriority w:val="0"/>
  </w:style>
  <w:style w:type="character" w:customStyle="1" w:styleId="112">
    <w:name w:val="批注框文本 字符"/>
    <w:basedOn w:val="83"/>
    <w:link w:val="49"/>
    <w:qFormat/>
    <w:uiPriority w:val="0"/>
    <w:rPr>
      <w:rFonts w:ascii="宋体" w:hAnsi="宋体" w:cs="黑体"/>
      <w:kern w:val="2"/>
      <w:sz w:val="18"/>
      <w:szCs w:val="18"/>
    </w:rPr>
  </w:style>
  <w:style w:type="paragraph" w:customStyle="1" w:styleId="113">
    <w:name w:val="正文缩进1"/>
    <w:basedOn w:val="1"/>
    <w:qFormat/>
    <w:uiPriority w:val="0"/>
    <w:pPr>
      <w:ind w:firstLine="420"/>
    </w:pPr>
  </w:style>
  <w:style w:type="character" w:customStyle="1" w:styleId="114">
    <w:name w:val="font71"/>
    <w:basedOn w:val="83"/>
    <w:qFormat/>
    <w:uiPriority w:val="0"/>
    <w:rPr>
      <w:rFonts w:hint="eastAsia" w:ascii="宋体" w:hAnsi="宋体" w:eastAsia="宋体" w:cs="宋体"/>
      <w:color w:val="000000"/>
      <w:sz w:val="20"/>
      <w:szCs w:val="20"/>
      <w:u w:val="none"/>
    </w:rPr>
  </w:style>
  <w:style w:type="character" w:customStyle="1" w:styleId="115">
    <w:name w:val="font81"/>
    <w:basedOn w:val="83"/>
    <w:qFormat/>
    <w:uiPriority w:val="0"/>
    <w:rPr>
      <w:rFonts w:hint="default" w:ascii="Times New Roman" w:hAnsi="Times New Roman" w:cs="Times New Roman"/>
      <w:color w:val="000000"/>
      <w:sz w:val="20"/>
      <w:szCs w:val="20"/>
      <w:u w:val="none"/>
    </w:rPr>
  </w:style>
  <w:style w:type="paragraph" w:customStyle="1" w:styleId="116">
    <w:name w:val="正文文本首行缩进1"/>
    <w:basedOn w:val="31"/>
    <w:link w:val="165"/>
    <w:qFormat/>
    <w:uiPriority w:val="0"/>
    <w:pPr>
      <w:ind w:firstLine="420" w:firstLineChars="100"/>
    </w:pPr>
    <w:rPr>
      <w:rFonts w:ascii="等线" w:hAnsi="等线"/>
    </w:rPr>
  </w:style>
  <w:style w:type="character" w:customStyle="1" w:styleId="117">
    <w:name w:val="未处理的提及3"/>
    <w:basedOn w:val="83"/>
    <w:semiHidden/>
    <w:unhideWhenUsed/>
    <w:qFormat/>
    <w:uiPriority w:val="99"/>
    <w:rPr>
      <w:color w:val="605E5C"/>
      <w:shd w:val="clear" w:color="auto" w:fill="E1DFDD"/>
    </w:rPr>
  </w:style>
  <w:style w:type="character" w:customStyle="1" w:styleId="118">
    <w:name w:val="标题 6 字符"/>
    <w:basedOn w:val="83"/>
    <w:link w:val="9"/>
    <w:qFormat/>
    <w:uiPriority w:val="0"/>
    <w:rPr>
      <w:rFonts w:ascii="宋体" w:hAnsi="宋体" w:cs="宋体"/>
      <w:b/>
      <w:sz w:val="30"/>
      <w:szCs w:val="30"/>
    </w:rPr>
  </w:style>
  <w:style w:type="character" w:customStyle="1" w:styleId="119">
    <w:name w:val="标题 7 字符"/>
    <w:basedOn w:val="83"/>
    <w:link w:val="10"/>
    <w:qFormat/>
    <w:uiPriority w:val="0"/>
    <w:rPr>
      <w:sz w:val="24"/>
    </w:rPr>
  </w:style>
  <w:style w:type="character" w:customStyle="1" w:styleId="120">
    <w:name w:val="标题 8 字符"/>
    <w:basedOn w:val="83"/>
    <w:link w:val="11"/>
    <w:qFormat/>
    <w:uiPriority w:val="0"/>
    <w:rPr>
      <w:rFonts w:ascii="Arial" w:hAnsi="Arial" w:eastAsia="黑体" w:cs="Arial"/>
      <w:sz w:val="24"/>
    </w:rPr>
  </w:style>
  <w:style w:type="character" w:customStyle="1" w:styleId="121">
    <w:name w:val="标题 9 字符"/>
    <w:basedOn w:val="83"/>
    <w:link w:val="12"/>
    <w:qFormat/>
    <w:uiPriority w:val="0"/>
    <w:rPr>
      <w:rFonts w:ascii="Arial" w:hAnsi="Arial" w:eastAsia="黑体" w:cs="Arial"/>
      <w:szCs w:val="21"/>
    </w:rPr>
  </w:style>
  <w:style w:type="character" w:customStyle="1" w:styleId="122">
    <w:name w:val="标题 5 字符"/>
    <w:basedOn w:val="83"/>
    <w:link w:val="7"/>
    <w:qFormat/>
    <w:uiPriority w:val="0"/>
    <w:rPr>
      <w:rFonts w:ascii="宋体" w:hAnsi="宋体" w:cs="黑体"/>
      <w:b/>
      <w:kern w:val="2"/>
      <w:sz w:val="28"/>
    </w:rPr>
  </w:style>
  <w:style w:type="character" w:customStyle="1" w:styleId="123">
    <w:name w:val="宏文本 字符"/>
    <w:basedOn w:val="83"/>
    <w:link w:val="2"/>
    <w:qFormat/>
    <w:uiPriority w:val="0"/>
    <w:rPr>
      <w:rFonts w:ascii="Courier New" w:hAnsi="Courier New" w:eastAsia="等线" w:cs="Courier New"/>
      <w:kern w:val="2"/>
      <w:sz w:val="24"/>
      <w:szCs w:val="24"/>
    </w:rPr>
  </w:style>
  <w:style w:type="character" w:customStyle="1" w:styleId="124">
    <w:name w:val="注释标题 字符"/>
    <w:basedOn w:val="83"/>
    <w:link w:val="16"/>
    <w:qFormat/>
    <w:uiPriority w:val="0"/>
    <w:rPr>
      <w:rFonts w:ascii="等线" w:hAnsi="等线" w:eastAsia="等线"/>
      <w:kern w:val="2"/>
      <w:sz w:val="21"/>
      <w:szCs w:val="22"/>
    </w:rPr>
  </w:style>
  <w:style w:type="character" w:customStyle="1" w:styleId="125">
    <w:name w:val="称呼 字符"/>
    <w:basedOn w:val="83"/>
    <w:link w:val="27"/>
    <w:qFormat/>
    <w:uiPriority w:val="0"/>
    <w:rPr>
      <w:rFonts w:ascii="等线" w:hAnsi="等线" w:eastAsia="等线"/>
      <w:kern w:val="2"/>
      <w:sz w:val="21"/>
      <w:szCs w:val="22"/>
    </w:rPr>
  </w:style>
  <w:style w:type="character" w:customStyle="1" w:styleId="126">
    <w:name w:val="正文文本 3 字符"/>
    <w:basedOn w:val="83"/>
    <w:link w:val="28"/>
    <w:qFormat/>
    <w:uiPriority w:val="0"/>
    <w:rPr>
      <w:rFonts w:ascii="等线" w:hAnsi="等线" w:eastAsia="等线"/>
      <w:kern w:val="2"/>
      <w:sz w:val="16"/>
      <w:szCs w:val="16"/>
    </w:rPr>
  </w:style>
  <w:style w:type="character" w:customStyle="1" w:styleId="127">
    <w:name w:val="结束语 字符"/>
    <w:basedOn w:val="83"/>
    <w:link w:val="29"/>
    <w:qFormat/>
    <w:uiPriority w:val="0"/>
    <w:rPr>
      <w:rFonts w:ascii="等线" w:hAnsi="等线" w:eastAsia="等线"/>
      <w:kern w:val="2"/>
      <w:sz w:val="32"/>
      <w:szCs w:val="22"/>
    </w:rPr>
  </w:style>
  <w:style w:type="character" w:customStyle="1" w:styleId="128">
    <w:name w:val="正文文本缩进 字符"/>
    <w:basedOn w:val="83"/>
    <w:link w:val="32"/>
    <w:qFormat/>
    <w:uiPriority w:val="0"/>
    <w:rPr>
      <w:rFonts w:ascii="仿宋_GB2312" w:hAnsi="宋体" w:eastAsia="仿宋_GB2312"/>
      <w:sz w:val="32"/>
      <w:szCs w:val="32"/>
    </w:rPr>
  </w:style>
  <w:style w:type="character" w:customStyle="1" w:styleId="129">
    <w:name w:val="纯文本 字符"/>
    <w:basedOn w:val="83"/>
    <w:link w:val="40"/>
    <w:qFormat/>
    <w:uiPriority w:val="0"/>
    <w:rPr>
      <w:rFonts w:ascii="宋体" w:hAnsi="Courier New"/>
      <w:kern w:val="2"/>
      <w:sz w:val="21"/>
      <w:szCs w:val="22"/>
    </w:rPr>
  </w:style>
  <w:style w:type="paragraph" w:customStyle="1" w:styleId="130">
    <w:name w:val="Default"/>
    <w:link w:val="443"/>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131">
    <w:name w:val="日期 字符"/>
    <w:basedOn w:val="83"/>
    <w:link w:val="45"/>
    <w:qFormat/>
    <w:uiPriority w:val="0"/>
    <w:rPr>
      <w:rFonts w:ascii="等线" w:hAnsi="等线" w:eastAsia="等线"/>
      <w:kern w:val="2"/>
      <w:sz w:val="21"/>
      <w:szCs w:val="22"/>
    </w:rPr>
  </w:style>
  <w:style w:type="character" w:customStyle="1" w:styleId="132">
    <w:name w:val="正文文本缩进 2 字符"/>
    <w:basedOn w:val="83"/>
    <w:link w:val="46"/>
    <w:qFormat/>
    <w:uiPriority w:val="0"/>
    <w:rPr>
      <w:rFonts w:ascii="等线" w:hAnsi="等线" w:eastAsia="仿宋_GB2312"/>
      <w:kern w:val="2"/>
      <w:sz w:val="24"/>
      <w:szCs w:val="24"/>
    </w:rPr>
  </w:style>
  <w:style w:type="character" w:customStyle="1" w:styleId="133">
    <w:name w:val="尾注文本 字符"/>
    <w:basedOn w:val="83"/>
    <w:link w:val="47"/>
    <w:qFormat/>
    <w:uiPriority w:val="0"/>
    <w:rPr>
      <w:rFonts w:ascii="等线" w:hAnsi="等线" w:eastAsia="等线"/>
      <w:kern w:val="2"/>
      <w:sz w:val="21"/>
      <w:szCs w:val="22"/>
    </w:rPr>
  </w:style>
  <w:style w:type="character" w:customStyle="1" w:styleId="134">
    <w:name w:val="签名 字符"/>
    <w:basedOn w:val="83"/>
    <w:link w:val="53"/>
    <w:qFormat/>
    <w:uiPriority w:val="0"/>
    <w:rPr>
      <w:rFonts w:ascii="等线" w:hAnsi="等线" w:eastAsia="等线"/>
      <w:kern w:val="2"/>
      <w:sz w:val="21"/>
      <w:szCs w:val="22"/>
    </w:rPr>
  </w:style>
  <w:style w:type="character" w:customStyle="1" w:styleId="135">
    <w:name w:val="副标题 字符"/>
    <w:basedOn w:val="83"/>
    <w:link w:val="59"/>
    <w:qFormat/>
    <w:uiPriority w:val="0"/>
    <w:rPr>
      <w:rFonts w:ascii="Cambria" w:hAnsi="Cambria" w:eastAsia="等线"/>
      <w:b/>
      <w:kern w:val="28"/>
      <w:sz w:val="32"/>
      <w:szCs w:val="32"/>
    </w:rPr>
  </w:style>
  <w:style w:type="character" w:customStyle="1" w:styleId="136">
    <w:name w:val="脚注文本 字符"/>
    <w:basedOn w:val="83"/>
    <w:link w:val="62"/>
    <w:qFormat/>
    <w:uiPriority w:val="0"/>
    <w:rPr>
      <w:rFonts w:ascii="等线" w:hAnsi="等线" w:eastAsia="等线"/>
      <w:kern w:val="2"/>
      <w:sz w:val="18"/>
      <w:szCs w:val="18"/>
    </w:rPr>
  </w:style>
  <w:style w:type="character" w:customStyle="1" w:styleId="137">
    <w:name w:val="正文文本缩进 3 字符"/>
    <w:basedOn w:val="83"/>
    <w:link w:val="65"/>
    <w:qFormat/>
    <w:uiPriority w:val="0"/>
    <w:rPr>
      <w:rFonts w:ascii="等线" w:hAnsi="等线" w:eastAsia="等线"/>
      <w:color w:val="FF0000"/>
      <w:kern w:val="2"/>
      <w:sz w:val="30"/>
      <w:szCs w:val="22"/>
    </w:rPr>
  </w:style>
  <w:style w:type="character" w:customStyle="1" w:styleId="138">
    <w:name w:val="正文文本 2 字符"/>
    <w:basedOn w:val="83"/>
    <w:link w:val="70"/>
    <w:qFormat/>
    <w:uiPriority w:val="0"/>
    <w:rPr>
      <w:rFonts w:ascii="等线" w:hAnsi="等线" w:eastAsia="等线"/>
      <w:color w:val="FF0000"/>
      <w:kern w:val="2"/>
      <w:sz w:val="21"/>
      <w:szCs w:val="24"/>
    </w:rPr>
  </w:style>
  <w:style w:type="character" w:customStyle="1" w:styleId="139">
    <w:name w:val="信息标题 字符"/>
    <w:basedOn w:val="83"/>
    <w:link w:val="73"/>
    <w:qFormat/>
    <w:uiPriority w:val="0"/>
    <w:rPr>
      <w:rFonts w:ascii="Cambria" w:hAnsi="Cambria" w:eastAsia="等线"/>
      <w:kern w:val="2"/>
      <w:sz w:val="24"/>
      <w:szCs w:val="24"/>
      <w:shd w:val="pct20" w:color="auto" w:fill="auto"/>
    </w:rPr>
  </w:style>
  <w:style w:type="character" w:customStyle="1" w:styleId="140">
    <w:name w:val="标题 字符"/>
    <w:basedOn w:val="83"/>
    <w:link w:val="77"/>
    <w:qFormat/>
    <w:uiPriority w:val="0"/>
    <w:rPr>
      <w:rFonts w:ascii="Cambria" w:hAnsi="Cambria" w:eastAsia="等线"/>
      <w:b/>
      <w:kern w:val="2"/>
      <w:sz w:val="32"/>
      <w:szCs w:val="32"/>
    </w:rPr>
  </w:style>
  <w:style w:type="paragraph" w:customStyle="1" w:styleId="141">
    <w:name w:val="批注主题1"/>
    <w:basedOn w:val="25"/>
    <w:next w:val="25"/>
    <w:qFormat/>
    <w:uiPriority w:val="0"/>
    <w:rPr>
      <w:rFonts w:ascii="Calibri" w:hAnsi="Calibri" w:eastAsia="宋体" w:cs="Times New Roman"/>
      <w:b/>
      <w:szCs w:val="22"/>
    </w:rPr>
  </w:style>
  <w:style w:type="character" w:customStyle="1" w:styleId="142">
    <w:name w:val="列表段落 字符"/>
    <w:link w:val="92"/>
    <w:qFormat/>
    <w:uiPriority w:val="0"/>
    <w:rPr>
      <w:rFonts w:ascii="宋体" w:hAnsi="宋体" w:cs="黑体"/>
      <w:kern w:val="2"/>
      <w:sz w:val="24"/>
      <w:szCs w:val="22"/>
    </w:rPr>
  </w:style>
  <w:style w:type="paragraph" w:customStyle="1" w:styleId="143">
    <w:name w:val="TOC 标题1"/>
    <w:basedOn w:val="3"/>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144">
    <w:name w:val="修订1"/>
    <w:qFormat/>
    <w:uiPriority w:val="0"/>
    <w:rPr>
      <w:rFonts w:ascii="Calibri" w:hAnsi="Calibri" w:eastAsia="宋体" w:cs="Times New Roman"/>
      <w:kern w:val="2"/>
      <w:sz w:val="21"/>
      <w:szCs w:val="22"/>
      <w:lang w:val="en-US" w:eastAsia="zh-CN" w:bidi="ar-SA"/>
    </w:rPr>
  </w:style>
  <w:style w:type="paragraph" w:customStyle="1" w:styleId="145">
    <w:name w:val="修订2"/>
    <w:qFormat/>
    <w:uiPriority w:val="0"/>
    <w:rPr>
      <w:rFonts w:ascii="Calibri" w:hAnsi="Calibri" w:eastAsia="宋体" w:cs="Times New Roman"/>
      <w:kern w:val="2"/>
      <w:sz w:val="21"/>
      <w:szCs w:val="22"/>
      <w:lang w:val="en-US" w:eastAsia="zh-CN" w:bidi="ar-SA"/>
    </w:rPr>
  </w:style>
  <w:style w:type="table" w:customStyle="1" w:styleId="146">
    <w:name w:val="Table Normal"/>
    <w:qFormat/>
    <w:uiPriority w:val="0"/>
    <w:rPr>
      <w:rFonts w:ascii="Arial" w:hAnsi="Arial" w:cs="Arial"/>
    </w:rPr>
    <w:tblPr>
      <w:tblCellMar>
        <w:top w:w="0" w:type="dxa"/>
        <w:left w:w="0" w:type="dxa"/>
        <w:bottom w:w="0" w:type="dxa"/>
        <w:right w:w="0" w:type="dxa"/>
      </w:tblCellMar>
    </w:tblPr>
  </w:style>
  <w:style w:type="table" w:customStyle="1" w:styleId="147">
    <w:name w:val="Table Normal1"/>
    <w:qFormat/>
    <w:uiPriority w:val="0"/>
    <w:rPr>
      <w:rFonts w:ascii="Arial" w:hAnsi="Arial" w:cs="Arial"/>
    </w:rPr>
    <w:tblPr>
      <w:tblCellMar>
        <w:top w:w="0" w:type="dxa"/>
        <w:left w:w="0" w:type="dxa"/>
        <w:bottom w:w="0" w:type="dxa"/>
        <w:right w:w="0" w:type="dxa"/>
      </w:tblCellMar>
    </w:tblPr>
  </w:style>
  <w:style w:type="table" w:customStyle="1" w:styleId="148">
    <w:name w:val="Table Normal2"/>
    <w:qFormat/>
    <w:uiPriority w:val="0"/>
    <w:rPr>
      <w:rFonts w:ascii="Arial" w:hAnsi="Arial" w:cs="Arial"/>
    </w:rPr>
    <w:tblPr>
      <w:tblCellMar>
        <w:top w:w="0" w:type="dxa"/>
        <w:left w:w="0" w:type="dxa"/>
        <w:bottom w:w="0" w:type="dxa"/>
        <w:right w:w="0" w:type="dxa"/>
      </w:tblCellMar>
    </w:tblPr>
  </w:style>
  <w:style w:type="table" w:customStyle="1" w:styleId="149">
    <w:name w:val="Table Normal3"/>
    <w:qFormat/>
    <w:uiPriority w:val="0"/>
    <w:rPr>
      <w:rFonts w:ascii="Arial" w:hAnsi="Arial" w:cs="Arial"/>
    </w:rPr>
    <w:tblPr>
      <w:tblCellMar>
        <w:top w:w="0" w:type="dxa"/>
        <w:left w:w="0" w:type="dxa"/>
        <w:bottom w:w="0" w:type="dxa"/>
        <w:right w:w="0" w:type="dxa"/>
      </w:tblCellMar>
    </w:tblPr>
  </w:style>
  <w:style w:type="table" w:customStyle="1" w:styleId="150">
    <w:name w:val="Table Normal4"/>
    <w:qFormat/>
    <w:uiPriority w:val="0"/>
    <w:rPr>
      <w:rFonts w:ascii="Arial" w:hAnsi="Arial" w:cs="Arial"/>
    </w:rPr>
    <w:tblPr>
      <w:tblCellMar>
        <w:top w:w="0" w:type="dxa"/>
        <w:left w:w="0" w:type="dxa"/>
        <w:bottom w:w="0" w:type="dxa"/>
        <w:right w:w="0" w:type="dxa"/>
      </w:tblCellMar>
    </w:tblPr>
  </w:style>
  <w:style w:type="table" w:customStyle="1" w:styleId="151">
    <w:name w:val="Table Normal5"/>
    <w:qFormat/>
    <w:uiPriority w:val="0"/>
    <w:rPr>
      <w:rFonts w:ascii="Arial" w:hAnsi="Arial" w:cs="Arial"/>
    </w:rPr>
    <w:tblPr>
      <w:tblCellMar>
        <w:top w:w="0" w:type="dxa"/>
        <w:left w:w="0" w:type="dxa"/>
        <w:bottom w:w="0" w:type="dxa"/>
        <w:right w:w="0" w:type="dxa"/>
      </w:tblCellMar>
    </w:tblPr>
  </w:style>
  <w:style w:type="table" w:customStyle="1" w:styleId="152">
    <w:name w:val="Table Normal6"/>
    <w:qFormat/>
    <w:uiPriority w:val="0"/>
    <w:tblPr>
      <w:tblCellMar>
        <w:top w:w="0" w:type="dxa"/>
        <w:left w:w="0" w:type="dxa"/>
        <w:bottom w:w="0" w:type="dxa"/>
        <w:right w:w="0" w:type="dxa"/>
      </w:tblCellMar>
    </w:tblPr>
  </w:style>
  <w:style w:type="paragraph" w:customStyle="1" w:styleId="153">
    <w:name w:val="普通(网站)1"/>
    <w:basedOn w:val="1"/>
    <w:qFormat/>
    <w:uiPriority w:val="0"/>
    <w:pPr>
      <w:widowControl/>
      <w:spacing w:before="100" w:beforeAutospacing="1" w:after="100" w:afterAutospacing="1" w:line="240" w:lineRule="auto"/>
    </w:pPr>
    <w:rPr>
      <w:rFonts w:cs="宋体"/>
      <w:kern w:val="0"/>
      <w:szCs w:val="20"/>
    </w:rPr>
  </w:style>
  <w:style w:type="paragraph" w:customStyle="1" w:styleId="154">
    <w:name w:val="引文目录1"/>
    <w:basedOn w:val="1"/>
    <w:next w:val="1"/>
    <w:qFormat/>
    <w:uiPriority w:val="0"/>
    <w:pPr>
      <w:spacing w:line="240" w:lineRule="auto"/>
      <w:ind w:left="420" w:leftChars="200"/>
      <w:jc w:val="both"/>
    </w:pPr>
    <w:rPr>
      <w:rFonts w:ascii="Times New Roman" w:hAnsi="Times New Roman" w:cs="Times New Roman"/>
      <w:kern w:val="0"/>
      <w:sz w:val="20"/>
      <w:szCs w:val="20"/>
    </w:rPr>
  </w:style>
  <w:style w:type="paragraph" w:customStyle="1" w:styleId="155">
    <w:name w:val="电子邮件签名1"/>
    <w:basedOn w:val="1"/>
    <w:link w:val="156"/>
    <w:qFormat/>
    <w:uiPriority w:val="0"/>
    <w:pPr>
      <w:spacing w:line="240" w:lineRule="auto"/>
      <w:jc w:val="both"/>
    </w:pPr>
    <w:rPr>
      <w:rFonts w:ascii="等线" w:hAnsi="等线" w:eastAsia="等线" w:cs="Times New Roman"/>
      <w:sz w:val="21"/>
    </w:rPr>
  </w:style>
  <w:style w:type="character" w:customStyle="1" w:styleId="156">
    <w:name w:val="电子邮件签名 字符"/>
    <w:link w:val="155"/>
    <w:qFormat/>
    <w:uiPriority w:val="0"/>
    <w:rPr>
      <w:rFonts w:ascii="等线" w:hAnsi="等线" w:eastAsia="等线"/>
      <w:kern w:val="2"/>
      <w:sz w:val="21"/>
      <w:szCs w:val="22"/>
    </w:rPr>
  </w:style>
  <w:style w:type="paragraph" w:customStyle="1" w:styleId="157">
    <w:name w:val="文档结构图1"/>
    <w:basedOn w:val="1"/>
    <w:link w:val="158"/>
    <w:qFormat/>
    <w:uiPriority w:val="0"/>
    <w:pPr>
      <w:shd w:val="clear" w:color="auto" w:fill="000080"/>
      <w:spacing w:line="240" w:lineRule="auto"/>
      <w:jc w:val="both"/>
    </w:pPr>
    <w:rPr>
      <w:rFonts w:ascii="等线" w:hAnsi="等线" w:eastAsia="等线" w:cs="Times New Roman"/>
      <w:sz w:val="21"/>
      <w:szCs w:val="24"/>
    </w:rPr>
  </w:style>
  <w:style w:type="character" w:customStyle="1" w:styleId="158">
    <w:name w:val="文档结构图 字符"/>
    <w:link w:val="157"/>
    <w:qFormat/>
    <w:uiPriority w:val="0"/>
    <w:rPr>
      <w:rFonts w:ascii="等线" w:hAnsi="等线" w:eastAsia="等线"/>
      <w:kern w:val="2"/>
      <w:sz w:val="21"/>
      <w:szCs w:val="24"/>
      <w:shd w:val="clear" w:color="auto" w:fill="000080"/>
    </w:rPr>
  </w:style>
  <w:style w:type="paragraph" w:customStyle="1" w:styleId="159">
    <w:name w:val="文本块1"/>
    <w:basedOn w:val="1"/>
    <w:qFormat/>
    <w:uiPriority w:val="0"/>
    <w:pPr>
      <w:autoSpaceDE w:val="0"/>
      <w:autoSpaceDN w:val="0"/>
      <w:adjustRightInd w:val="0"/>
      <w:spacing w:line="500" w:lineRule="exact"/>
      <w:ind w:left="391" w:right="246"/>
      <w:jc w:val="both"/>
    </w:pPr>
    <w:rPr>
      <w:rFonts w:ascii="仿宋_GB2312" w:hAnsi="Times New Roman" w:eastAsia="仿宋_GB2312" w:cs="Times New Roman"/>
      <w:kern w:val="0"/>
      <w:szCs w:val="20"/>
    </w:rPr>
  </w:style>
  <w:style w:type="paragraph" w:customStyle="1" w:styleId="160">
    <w:name w:val="HTML 地址1"/>
    <w:basedOn w:val="1"/>
    <w:link w:val="161"/>
    <w:qFormat/>
    <w:uiPriority w:val="0"/>
    <w:pPr>
      <w:spacing w:line="240" w:lineRule="auto"/>
      <w:jc w:val="both"/>
    </w:pPr>
    <w:rPr>
      <w:rFonts w:ascii="等线" w:hAnsi="等线" w:eastAsia="等线" w:cs="Times New Roman"/>
      <w:i/>
      <w:iCs/>
      <w:sz w:val="21"/>
    </w:rPr>
  </w:style>
  <w:style w:type="character" w:customStyle="1" w:styleId="161">
    <w:name w:val="HTML 地址 字符"/>
    <w:link w:val="160"/>
    <w:qFormat/>
    <w:uiPriority w:val="0"/>
    <w:rPr>
      <w:rFonts w:ascii="等线" w:hAnsi="等线" w:eastAsia="等线"/>
      <w:i/>
      <w:iCs/>
      <w:kern w:val="2"/>
      <w:sz w:val="21"/>
      <w:szCs w:val="22"/>
    </w:rPr>
  </w:style>
  <w:style w:type="paragraph" w:customStyle="1" w:styleId="162">
    <w:name w:val="图表目录1"/>
    <w:basedOn w:val="1"/>
    <w:next w:val="1"/>
    <w:qFormat/>
    <w:uiPriority w:val="0"/>
    <w:pPr>
      <w:spacing w:line="240" w:lineRule="auto"/>
      <w:ind w:left="200" w:leftChars="200" w:hanging="200" w:hangingChars="200"/>
      <w:jc w:val="both"/>
    </w:pPr>
    <w:rPr>
      <w:rFonts w:ascii="Times New Roman" w:hAnsi="Times New Roman" w:cs="Times New Roman"/>
      <w:kern w:val="0"/>
      <w:sz w:val="20"/>
      <w:szCs w:val="20"/>
    </w:rPr>
  </w:style>
  <w:style w:type="paragraph" w:customStyle="1" w:styleId="163">
    <w:name w:val="HTML 预设格式1"/>
    <w:basedOn w:val="1"/>
    <w:link w:val="164"/>
    <w:qFormat/>
    <w:uiPriority w:val="0"/>
    <w:pPr>
      <w:spacing w:line="240" w:lineRule="auto"/>
      <w:jc w:val="both"/>
    </w:pPr>
    <w:rPr>
      <w:rFonts w:ascii="Courier New" w:hAnsi="Courier New" w:eastAsia="等线" w:cs="Courier New"/>
      <w:sz w:val="21"/>
    </w:rPr>
  </w:style>
  <w:style w:type="character" w:customStyle="1" w:styleId="164">
    <w:name w:val="HTML 预设格式 字符"/>
    <w:link w:val="163"/>
    <w:qFormat/>
    <w:uiPriority w:val="0"/>
    <w:rPr>
      <w:rFonts w:ascii="Courier New" w:hAnsi="Courier New" w:eastAsia="等线" w:cs="Courier New"/>
      <w:kern w:val="2"/>
      <w:sz w:val="21"/>
      <w:szCs w:val="22"/>
    </w:rPr>
  </w:style>
  <w:style w:type="character" w:customStyle="1" w:styleId="165">
    <w:name w:val="正文文本首行缩进 字符"/>
    <w:link w:val="116"/>
    <w:qFormat/>
    <w:uiPriority w:val="0"/>
    <w:rPr>
      <w:rFonts w:ascii="等线" w:hAnsi="等线" w:eastAsia="等线" w:cs="黑体"/>
      <w:kern w:val="2"/>
      <w:sz w:val="21"/>
      <w:szCs w:val="24"/>
    </w:rPr>
  </w:style>
  <w:style w:type="paragraph" w:customStyle="1" w:styleId="166">
    <w:name w:val="正文文本首行缩进 21"/>
    <w:basedOn w:val="32"/>
    <w:link w:val="167"/>
    <w:qFormat/>
    <w:uiPriority w:val="0"/>
    <w:pPr>
      <w:spacing w:after="120" w:line="240" w:lineRule="auto"/>
      <w:ind w:left="420" w:leftChars="200" w:firstLine="420" w:firstLineChars="200"/>
    </w:pPr>
    <w:rPr>
      <w:rFonts w:ascii="等线" w:hAnsi="等线" w:eastAsia="等线"/>
      <w:kern w:val="2"/>
      <w:sz w:val="30"/>
      <w:szCs w:val="22"/>
    </w:rPr>
  </w:style>
  <w:style w:type="character" w:customStyle="1" w:styleId="167">
    <w:name w:val="正文文本首行缩进 2 字符"/>
    <w:link w:val="166"/>
    <w:qFormat/>
    <w:uiPriority w:val="0"/>
    <w:rPr>
      <w:rFonts w:ascii="等线" w:hAnsi="等线" w:eastAsia="等线"/>
      <w:kern w:val="2"/>
      <w:sz w:val="30"/>
      <w:szCs w:val="22"/>
    </w:rPr>
  </w:style>
  <w:style w:type="character" w:customStyle="1" w:styleId="168">
    <w:name w:val="HTML 缩写1"/>
    <w:qFormat/>
    <w:uiPriority w:val="0"/>
  </w:style>
  <w:style w:type="paragraph" w:customStyle="1" w:styleId="169">
    <w:name w:val="标书正文"/>
    <w:basedOn w:val="1"/>
    <w:link w:val="674"/>
    <w:qFormat/>
    <w:uiPriority w:val="0"/>
    <w:pPr>
      <w:spacing w:line="240" w:lineRule="auto"/>
      <w:ind w:firstLine="200" w:firstLineChars="200"/>
      <w:jc w:val="both"/>
    </w:pPr>
    <w:rPr>
      <w:rFonts w:ascii="Times New Roman" w:hAnsi="Times New Roman" w:eastAsia="仿宋_GB2312" w:cs="Times New Roman"/>
      <w:sz w:val="28"/>
      <w:szCs w:val="24"/>
    </w:rPr>
  </w:style>
  <w:style w:type="character" w:customStyle="1" w:styleId="170">
    <w:name w:val="引用 Char1"/>
    <w:qFormat/>
    <w:uiPriority w:val="0"/>
    <w:rPr>
      <w:i/>
      <w:iCs/>
      <w:color w:val="000000"/>
      <w:kern w:val="2"/>
      <w:sz w:val="21"/>
      <w:szCs w:val="24"/>
    </w:rPr>
  </w:style>
  <w:style w:type="paragraph" w:customStyle="1" w:styleId="171">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172">
    <w:name w:val="列出段落1"/>
    <w:basedOn w:val="1"/>
    <w:qFormat/>
    <w:uiPriority w:val="0"/>
    <w:pPr>
      <w:ind w:firstLine="420" w:firstLineChars="200"/>
      <w:jc w:val="both"/>
    </w:pPr>
    <w:rPr>
      <w:rFonts w:hAnsi="华文细黑" w:cs="Times New Roman"/>
      <w:color w:val="000000"/>
      <w:kern w:val="0"/>
      <w:sz w:val="20"/>
      <w:szCs w:val="20"/>
    </w:rPr>
  </w:style>
  <w:style w:type="character" w:customStyle="1" w:styleId="173">
    <w:name w:val="尾注文本 Char1"/>
    <w:qFormat/>
    <w:uiPriority w:val="0"/>
    <w:rPr>
      <w:kern w:val="2"/>
      <w:sz w:val="21"/>
      <w:szCs w:val="24"/>
    </w:rPr>
  </w:style>
  <w:style w:type="character" w:customStyle="1" w:styleId="174">
    <w:name w:val="WW8Num9z0"/>
    <w:qFormat/>
    <w:uiPriority w:val="0"/>
    <w:rPr>
      <w:rFonts w:ascii="Wingdings" w:hAnsi="Wingdings"/>
    </w:rPr>
  </w:style>
  <w:style w:type="character" w:customStyle="1" w:styleId="175">
    <w:name w:val="纯文本 Char1"/>
    <w:qFormat/>
    <w:uiPriority w:val="0"/>
    <w:rPr>
      <w:rFonts w:ascii="宋体" w:hAnsi="Courier New"/>
      <w:kern w:val="2"/>
      <w:sz w:val="21"/>
      <w:szCs w:val="21"/>
    </w:rPr>
  </w:style>
  <w:style w:type="character" w:customStyle="1" w:styleId="176">
    <w:name w:val="明显引用 Char1"/>
    <w:qFormat/>
    <w:uiPriority w:val="0"/>
    <w:rPr>
      <w:b/>
      <w:i/>
      <w:iCs/>
      <w:color w:val="4F81BD"/>
      <w:kern w:val="2"/>
      <w:sz w:val="21"/>
      <w:szCs w:val="24"/>
    </w:rPr>
  </w:style>
  <w:style w:type="character" w:customStyle="1" w:styleId="177">
    <w:name w:val="fs1"/>
    <w:qFormat/>
    <w:uiPriority w:val="0"/>
    <w:rPr>
      <w:dstrike/>
      <w:color w:val="093F7C"/>
      <w:sz w:val="18"/>
      <w:u w:val="none"/>
    </w:rPr>
  </w:style>
  <w:style w:type="character" w:customStyle="1" w:styleId="178">
    <w:name w:val="WW8Num7z0"/>
    <w:qFormat/>
    <w:uiPriority w:val="0"/>
    <w:rPr>
      <w:rFonts w:ascii="Wingdings" w:hAnsi="Wingdings"/>
    </w:rPr>
  </w:style>
  <w:style w:type="character" w:customStyle="1" w:styleId="179">
    <w:name w:val="at_0"/>
    <w:basedOn w:val="83"/>
    <w:qFormat/>
    <w:uiPriority w:val="0"/>
  </w:style>
  <w:style w:type="character" w:customStyle="1" w:styleId="180">
    <w:name w:val="正文+首行缩进2 Char Char"/>
    <w:link w:val="181"/>
    <w:qFormat/>
    <w:uiPriority w:val="0"/>
    <w:rPr>
      <w:szCs w:val="24"/>
    </w:rPr>
  </w:style>
  <w:style w:type="paragraph" w:customStyle="1" w:styleId="181">
    <w:name w:val="正文+首行缩进2"/>
    <w:basedOn w:val="1"/>
    <w:link w:val="180"/>
    <w:qFormat/>
    <w:uiPriority w:val="0"/>
    <w:pPr>
      <w:spacing w:line="480" w:lineRule="exact"/>
      <w:ind w:firstLine="200" w:firstLineChars="200"/>
      <w:jc w:val="both"/>
    </w:pPr>
    <w:rPr>
      <w:rFonts w:ascii="Times New Roman" w:hAnsi="Times New Roman" w:cs="Times New Roman"/>
      <w:kern w:val="0"/>
      <w:sz w:val="20"/>
      <w:szCs w:val="24"/>
    </w:rPr>
  </w:style>
  <w:style w:type="character" w:customStyle="1" w:styleId="182">
    <w:name w:val="font91"/>
    <w:qFormat/>
    <w:uiPriority w:val="0"/>
    <w:rPr>
      <w:sz w:val="18"/>
      <w:szCs w:val="18"/>
    </w:rPr>
  </w:style>
  <w:style w:type="character" w:customStyle="1" w:styleId="183">
    <w:name w:val="正文首行缩进 2 Char1"/>
    <w:qFormat/>
    <w:uiPriority w:val="0"/>
    <w:rPr>
      <w:rFonts w:ascii="等线" w:hAnsi="等线" w:eastAsia="等线" w:cs="Times New Roman"/>
      <w:kern w:val="2"/>
      <w:sz w:val="28"/>
      <w:szCs w:val="24"/>
    </w:rPr>
  </w:style>
  <w:style w:type="character" w:customStyle="1" w:styleId="184">
    <w:name w:val="WW8Num13z0"/>
    <w:qFormat/>
    <w:uiPriority w:val="0"/>
    <w:rPr>
      <w:rFonts w:ascii="Wingdings" w:hAnsi="Wingdings"/>
    </w:rPr>
  </w:style>
  <w:style w:type="character" w:customStyle="1" w:styleId="185">
    <w:name w:val="normalfont1"/>
    <w:qFormat/>
    <w:uiPriority w:val="0"/>
    <w:rPr>
      <w:rFonts w:hint="default" w:ascii="ˎ̥" w:hAnsi="ˎ̥"/>
      <w:color w:val="000472"/>
      <w:sz w:val="18"/>
      <w:szCs w:val="18"/>
    </w:rPr>
  </w:style>
  <w:style w:type="character" w:customStyle="1" w:styleId="186">
    <w:name w:val="样式 宋体 小四 红色 下划线"/>
    <w:qFormat/>
    <w:uiPriority w:val="0"/>
    <w:rPr>
      <w:color w:val="FF0000"/>
      <w:sz w:val="24"/>
      <w:u w:val="single"/>
    </w:rPr>
  </w:style>
  <w:style w:type="character" w:customStyle="1" w:styleId="187">
    <w:name w:val="WW8Num1z0"/>
    <w:qFormat/>
    <w:uiPriority w:val="0"/>
    <w:rPr>
      <w:rFonts w:ascii="Wingdings" w:hAnsi="Wingdings"/>
    </w:rPr>
  </w:style>
  <w:style w:type="character" w:customStyle="1" w:styleId="188">
    <w:name w:val="HTML 预设格式 Char1"/>
    <w:qFormat/>
    <w:uiPriority w:val="0"/>
    <w:rPr>
      <w:rFonts w:ascii="Courier New" w:hAnsi="Courier New" w:cs="Courier New"/>
      <w:kern w:val="2"/>
    </w:rPr>
  </w:style>
  <w:style w:type="character" w:customStyle="1" w:styleId="189">
    <w:name w:val="正文文本缩进 Char"/>
    <w:qFormat/>
    <w:uiPriority w:val="0"/>
    <w:rPr>
      <w:kern w:val="2"/>
      <w:sz w:val="30"/>
    </w:rPr>
  </w:style>
  <w:style w:type="character" w:customStyle="1" w:styleId="190">
    <w:name w:val="la1"/>
    <w:qFormat/>
    <w:uiPriority w:val="0"/>
    <w:rPr>
      <w:sz w:val="21"/>
      <w:szCs w:val="21"/>
    </w:rPr>
  </w:style>
  <w:style w:type="character" w:customStyle="1" w:styleId="191">
    <w:name w:val="副标题 Char1"/>
    <w:qFormat/>
    <w:uiPriority w:val="0"/>
    <w:rPr>
      <w:rFonts w:ascii="Cambria" w:hAnsi="Cambria" w:cs="Times New Roman"/>
      <w:b/>
      <w:kern w:val="28"/>
      <w:sz w:val="32"/>
      <w:szCs w:val="32"/>
    </w:rPr>
  </w:style>
  <w:style w:type="character" w:customStyle="1" w:styleId="192">
    <w:name w:val="(符号)标书正文 Char"/>
    <w:qFormat/>
    <w:uiPriority w:val="0"/>
    <w:rPr>
      <w:rFonts w:ascii="黑体" w:hAnsi="宋体" w:eastAsia="黑体"/>
      <w:b/>
      <w:kern w:val="2"/>
      <w:sz w:val="24"/>
      <w:szCs w:val="24"/>
      <w:lang w:val="en-US" w:eastAsia="zh-CN" w:bidi="ar-SA"/>
    </w:rPr>
  </w:style>
  <w:style w:type="character" w:customStyle="1" w:styleId="193">
    <w:name w:val="font21"/>
    <w:qFormat/>
    <w:uiPriority w:val="0"/>
    <w:rPr>
      <w:rFonts w:hint="eastAsia" w:ascii="宋体" w:hAnsi="宋体" w:eastAsia="宋体" w:cs="宋体"/>
      <w:color w:val="000000"/>
      <w:sz w:val="22"/>
      <w:szCs w:val="22"/>
      <w:u w:val="none"/>
    </w:rPr>
  </w:style>
  <w:style w:type="character" w:customStyle="1" w:styleId="194">
    <w:name w:val="cn1"/>
    <w:qFormat/>
    <w:uiPriority w:val="0"/>
    <w:rPr>
      <w:sz w:val="18"/>
      <w:szCs w:val="18"/>
    </w:rPr>
  </w:style>
  <w:style w:type="character" w:customStyle="1" w:styleId="195">
    <w:name w:val="z9unnamed2"/>
    <w:basedOn w:val="83"/>
    <w:qFormat/>
    <w:uiPriority w:val="0"/>
  </w:style>
  <w:style w:type="character" w:customStyle="1" w:styleId="196">
    <w:name w:val="WW8Num6z0"/>
    <w:qFormat/>
    <w:uiPriority w:val="0"/>
    <w:rPr>
      <w:rFonts w:ascii="Wingdings" w:hAnsi="Wingdings"/>
    </w:rPr>
  </w:style>
  <w:style w:type="character" w:customStyle="1" w:styleId="197">
    <w:name w:val="电子邮件签名 Char1"/>
    <w:qFormat/>
    <w:uiPriority w:val="0"/>
    <w:rPr>
      <w:kern w:val="2"/>
      <w:sz w:val="21"/>
      <w:szCs w:val="24"/>
    </w:rPr>
  </w:style>
  <w:style w:type="character" w:customStyle="1" w:styleId="198">
    <w:name w:val="正文文本 Char"/>
    <w:qFormat/>
    <w:uiPriority w:val="0"/>
    <w:rPr>
      <w:kern w:val="2"/>
      <w:sz w:val="21"/>
    </w:rPr>
  </w:style>
  <w:style w:type="character" w:customStyle="1" w:styleId="199">
    <w:name w:val="批注文字 Char1"/>
    <w:qFormat/>
    <w:uiPriority w:val="0"/>
    <w:rPr>
      <w:kern w:val="2"/>
      <w:sz w:val="21"/>
      <w:szCs w:val="24"/>
    </w:rPr>
  </w:style>
  <w:style w:type="character" w:customStyle="1" w:styleId="200">
    <w:name w:val="一般文字 字元 Char"/>
    <w:qFormat/>
    <w:uiPriority w:val="0"/>
    <w:rPr>
      <w:rFonts w:ascii="宋体" w:hAnsi="Courier New" w:eastAsia="宋体" w:cs="Courier New"/>
      <w:kern w:val="2"/>
      <w:sz w:val="21"/>
      <w:szCs w:val="21"/>
      <w:lang w:val="en-US" w:eastAsia="zh-CN" w:bidi="ar-SA"/>
    </w:rPr>
  </w:style>
  <w:style w:type="character" w:customStyle="1" w:styleId="201">
    <w:name w:val="zw"/>
    <w:basedOn w:val="83"/>
    <w:qFormat/>
    <w:uiPriority w:val="0"/>
  </w:style>
  <w:style w:type="character" w:customStyle="1" w:styleId="202">
    <w:name w:val="c lh15"/>
    <w:basedOn w:val="83"/>
    <w:qFormat/>
    <w:uiPriority w:val="0"/>
  </w:style>
  <w:style w:type="character" w:customStyle="1" w:styleId="203">
    <w:name w:val="ft-hanggao1"/>
    <w:qFormat/>
    <w:uiPriority w:val="0"/>
    <w:rPr>
      <w:color w:val="000000"/>
      <w:sz w:val="21"/>
      <w:szCs w:val="21"/>
    </w:rPr>
  </w:style>
  <w:style w:type="character" w:customStyle="1" w:styleId="204">
    <w:name w:val="正文文本 3 Char1"/>
    <w:qFormat/>
    <w:uiPriority w:val="0"/>
    <w:rPr>
      <w:kern w:val="2"/>
      <w:sz w:val="16"/>
      <w:szCs w:val="16"/>
    </w:rPr>
  </w:style>
  <w:style w:type="character" w:customStyle="1" w:styleId="205">
    <w:name w:val="a91"/>
    <w:qFormat/>
    <w:uiPriority w:val="0"/>
    <w:rPr>
      <w:sz w:val="18"/>
      <w:szCs w:val="18"/>
    </w:rPr>
  </w:style>
  <w:style w:type="character" w:customStyle="1" w:styleId="206">
    <w:name w:val="unnamed11"/>
    <w:basedOn w:val="83"/>
    <w:qFormat/>
    <w:uiPriority w:val="0"/>
  </w:style>
  <w:style w:type="character" w:customStyle="1" w:styleId="207">
    <w:name w:val="f12_05321"/>
    <w:qFormat/>
    <w:uiPriority w:val="0"/>
    <w:rPr>
      <w:color w:val="053299"/>
      <w:sz w:val="20"/>
      <w:szCs w:val="20"/>
    </w:rPr>
  </w:style>
  <w:style w:type="character" w:customStyle="1" w:styleId="208">
    <w:name w:val="f111"/>
    <w:qFormat/>
    <w:uiPriority w:val="0"/>
    <w:rPr>
      <w:sz w:val="22"/>
      <w:szCs w:val="22"/>
    </w:rPr>
  </w:style>
  <w:style w:type="character" w:customStyle="1" w:styleId="209">
    <w:name w:val="普通文字 Char Char2"/>
    <w:qFormat/>
    <w:uiPriority w:val="0"/>
    <w:rPr>
      <w:rFonts w:ascii="宋体" w:hAnsi="Courier New" w:eastAsia="宋体"/>
      <w:kern w:val="2"/>
      <w:sz w:val="21"/>
      <w:lang w:val="en-US" w:eastAsia="zh-CN" w:bidi="ar-SA"/>
    </w:rPr>
  </w:style>
  <w:style w:type="character" w:customStyle="1" w:styleId="210">
    <w:name w:val="信息标题 Char1"/>
    <w:qFormat/>
    <w:uiPriority w:val="0"/>
    <w:rPr>
      <w:rFonts w:ascii="Cambria" w:hAnsi="Cambria" w:eastAsia="宋体" w:cs="Times New Roman"/>
      <w:kern w:val="2"/>
      <w:sz w:val="24"/>
      <w:szCs w:val="24"/>
      <w:shd w:val="pct20" w:color="auto" w:fill="auto"/>
    </w:rPr>
  </w:style>
  <w:style w:type="character" w:customStyle="1" w:styleId="211">
    <w:name w:val="正文缩进 字符"/>
    <w:link w:val="8"/>
    <w:qFormat/>
    <w:uiPriority w:val="0"/>
    <w:rPr>
      <w:rFonts w:ascii="宋体" w:hAnsi="宋体" w:cs="黑体"/>
      <w:kern w:val="2"/>
      <w:sz w:val="24"/>
    </w:rPr>
  </w:style>
  <w:style w:type="character" w:customStyle="1" w:styleId="212">
    <w:name w:val="WW8Num2z0"/>
    <w:qFormat/>
    <w:uiPriority w:val="0"/>
    <w:rPr>
      <w:rFonts w:ascii="Wingdings" w:hAnsi="Wingdings"/>
    </w:rPr>
  </w:style>
  <w:style w:type="character" w:customStyle="1" w:styleId="213">
    <w:name w:val="日期 Char1"/>
    <w:qFormat/>
    <w:uiPriority w:val="0"/>
    <w:rPr>
      <w:rFonts w:ascii="Times New Roman" w:hAnsi="Times New Roman" w:eastAsia="宋体" w:cs="Times New Roman"/>
      <w:szCs w:val="24"/>
    </w:rPr>
  </w:style>
  <w:style w:type="character" w:customStyle="1" w:styleId="214">
    <w:name w:val="HTML 地址 Char1"/>
    <w:qFormat/>
    <w:uiPriority w:val="0"/>
    <w:rPr>
      <w:i/>
      <w:iCs/>
      <w:kern w:val="2"/>
      <w:sz w:val="21"/>
      <w:szCs w:val="24"/>
    </w:rPr>
  </w:style>
  <w:style w:type="character" w:customStyle="1" w:styleId="215">
    <w:name w:val="z-窗体底端 字符"/>
    <w:link w:val="216"/>
    <w:qFormat/>
    <w:uiPriority w:val="0"/>
    <w:rPr>
      <w:rFonts w:ascii="Arial" w:hAnsi="Arial"/>
      <w:vanish/>
      <w:sz w:val="16"/>
    </w:rPr>
  </w:style>
  <w:style w:type="paragraph" w:customStyle="1" w:styleId="216">
    <w:name w:val="z-窗体底端1"/>
    <w:basedOn w:val="1"/>
    <w:next w:val="1"/>
    <w:link w:val="215"/>
    <w:qFormat/>
    <w:uiPriority w:val="0"/>
    <w:pPr>
      <w:widowControl/>
      <w:pBdr>
        <w:top w:val="single" w:color="auto" w:sz="6" w:space="1"/>
      </w:pBdr>
      <w:spacing w:line="240" w:lineRule="auto"/>
      <w:jc w:val="center"/>
    </w:pPr>
    <w:rPr>
      <w:rFonts w:ascii="Arial" w:hAnsi="Arial" w:cs="Times New Roman"/>
      <w:vanish/>
      <w:kern w:val="0"/>
      <w:sz w:val="16"/>
      <w:szCs w:val="20"/>
    </w:rPr>
  </w:style>
  <w:style w:type="character" w:customStyle="1" w:styleId="217">
    <w:name w:val="枣阳样式四 Char"/>
    <w:link w:val="218"/>
    <w:qFormat/>
    <w:uiPriority w:val="0"/>
    <w:rPr>
      <w:sz w:val="28"/>
      <w:szCs w:val="24"/>
    </w:rPr>
  </w:style>
  <w:style w:type="paragraph" w:customStyle="1" w:styleId="218">
    <w:name w:val="枣阳样式四"/>
    <w:basedOn w:val="1"/>
    <w:link w:val="217"/>
    <w:qFormat/>
    <w:uiPriority w:val="0"/>
    <w:pPr>
      <w:spacing w:line="324" w:lineRule="auto"/>
      <w:ind w:firstLine="527" w:firstLineChars="200"/>
      <w:jc w:val="both"/>
    </w:pPr>
    <w:rPr>
      <w:rFonts w:ascii="Times New Roman" w:hAnsi="Times New Roman" w:cs="Times New Roman"/>
      <w:kern w:val="0"/>
      <w:sz w:val="28"/>
      <w:szCs w:val="24"/>
    </w:rPr>
  </w:style>
  <w:style w:type="character" w:customStyle="1" w:styleId="219">
    <w:name w:val="unnamed31"/>
    <w:qFormat/>
    <w:uiPriority w:val="0"/>
    <w:rPr>
      <w:sz w:val="22"/>
      <w:szCs w:val="22"/>
    </w:rPr>
  </w:style>
  <w:style w:type="character" w:customStyle="1" w:styleId="220">
    <w:name w:val="签名 Char1"/>
    <w:qFormat/>
    <w:uiPriority w:val="0"/>
    <w:rPr>
      <w:kern w:val="2"/>
      <w:sz w:val="21"/>
      <w:szCs w:val="24"/>
    </w:rPr>
  </w:style>
  <w:style w:type="character" w:customStyle="1" w:styleId="221">
    <w:name w:val="unnamed1"/>
    <w:basedOn w:val="83"/>
    <w:qFormat/>
    <w:uiPriority w:val="0"/>
  </w:style>
  <w:style w:type="character" w:customStyle="1" w:styleId="222">
    <w:name w:val="a71"/>
    <w:qFormat/>
    <w:uiPriority w:val="0"/>
    <w:rPr>
      <w:rFonts w:ascii="??" w:hAnsi="??" w:cs="??"/>
      <w:sz w:val="20"/>
      <w:szCs w:val="20"/>
    </w:rPr>
  </w:style>
  <w:style w:type="character" w:customStyle="1" w:styleId="223">
    <w:name w:val="宏文本 Char1"/>
    <w:qFormat/>
    <w:uiPriority w:val="0"/>
    <w:rPr>
      <w:rFonts w:ascii="Courier New" w:hAnsi="Courier New" w:cs="Courier New"/>
      <w:kern w:val="2"/>
      <w:sz w:val="24"/>
      <w:szCs w:val="24"/>
    </w:rPr>
  </w:style>
  <w:style w:type="character" w:customStyle="1" w:styleId="224">
    <w:name w:val="apple-converted-space"/>
    <w:basedOn w:val="83"/>
    <w:qFormat/>
    <w:uiPriority w:val="0"/>
  </w:style>
  <w:style w:type="character" w:customStyle="1" w:styleId="225">
    <w:name w:val="（符号）三标题1.1 Char Char"/>
    <w:link w:val="226"/>
    <w:qFormat/>
    <w:uiPriority w:val="0"/>
    <w:rPr>
      <w:rFonts w:ascii="宋体" w:hAnsi="宋体"/>
      <w:sz w:val="24"/>
      <w:szCs w:val="24"/>
    </w:rPr>
  </w:style>
  <w:style w:type="paragraph" w:customStyle="1" w:styleId="226">
    <w:name w:val="（符号）三标题1.1 Char"/>
    <w:basedOn w:val="1"/>
    <w:link w:val="225"/>
    <w:qFormat/>
    <w:uiPriority w:val="0"/>
    <w:pPr>
      <w:spacing w:line="500" w:lineRule="exact"/>
      <w:ind w:left="700" w:hanging="700"/>
      <w:jc w:val="both"/>
    </w:pPr>
    <w:rPr>
      <w:rFonts w:cs="Times New Roman"/>
      <w:kern w:val="0"/>
      <w:szCs w:val="24"/>
    </w:rPr>
  </w:style>
  <w:style w:type="character" w:customStyle="1" w:styleId="227">
    <w:name w:val="WW8Num8z1"/>
    <w:qFormat/>
    <w:uiPriority w:val="0"/>
    <w:rPr>
      <w:rFonts w:ascii="Wingdings" w:hAnsi="Wingdings"/>
    </w:rPr>
  </w:style>
  <w:style w:type="character" w:customStyle="1" w:styleId="228">
    <w:name w:val="WW8Num3z0"/>
    <w:qFormat/>
    <w:uiPriority w:val="0"/>
    <w:rPr>
      <w:rFonts w:ascii="Wingdings" w:hAnsi="Wingdings"/>
    </w:rPr>
  </w:style>
  <w:style w:type="character" w:customStyle="1" w:styleId="229">
    <w:name w:val="正文首行缩进 Char1"/>
    <w:qFormat/>
    <w:uiPriority w:val="0"/>
    <w:rPr>
      <w:rFonts w:ascii="等线" w:hAnsi="等线" w:eastAsia="等线" w:cs="Times New Roman"/>
      <w:kern w:val="2"/>
      <w:sz w:val="21"/>
      <w:szCs w:val="24"/>
    </w:rPr>
  </w:style>
  <w:style w:type="character" w:customStyle="1" w:styleId="230">
    <w:name w:val="正文缩进 Char1"/>
    <w:qFormat/>
    <w:uiPriority w:val="0"/>
    <w:rPr>
      <w:color w:val="000000"/>
      <w:sz w:val="28"/>
    </w:rPr>
  </w:style>
  <w:style w:type="character" w:customStyle="1" w:styleId="231">
    <w:name w:val="B 条款一 Char"/>
    <w:link w:val="232"/>
    <w:qFormat/>
    <w:uiPriority w:val="0"/>
    <w:rPr>
      <w:rFonts w:ascii="Arial" w:hAnsi="Arial" w:cs="Arial"/>
      <w:b/>
      <w:sz w:val="30"/>
      <w:szCs w:val="30"/>
    </w:rPr>
  </w:style>
  <w:style w:type="paragraph" w:customStyle="1" w:styleId="232">
    <w:name w:val="B 条款一"/>
    <w:basedOn w:val="4"/>
    <w:next w:val="1"/>
    <w:link w:val="231"/>
    <w:qFormat/>
    <w:uiPriority w:val="0"/>
    <w:pPr>
      <w:adjustRightInd w:val="0"/>
      <w:spacing w:before="156" w:beforeLines="50" w:after="156" w:afterLines="50" w:line="240" w:lineRule="atLeast"/>
      <w:jc w:val="center"/>
    </w:pPr>
    <w:rPr>
      <w:rFonts w:ascii="Arial" w:hAnsi="Arial" w:cs="Arial"/>
      <w:bCs w:val="0"/>
      <w:kern w:val="0"/>
      <w:sz w:val="30"/>
      <w:szCs w:val="30"/>
    </w:rPr>
  </w:style>
  <w:style w:type="character" w:customStyle="1" w:styleId="233">
    <w:name w:val="WW8Num15z0"/>
    <w:qFormat/>
    <w:uiPriority w:val="0"/>
    <w:rPr>
      <w:rFonts w:ascii="Wingdings" w:hAnsi="Wingdings"/>
    </w:rPr>
  </w:style>
  <w:style w:type="character" w:customStyle="1" w:styleId="234">
    <w:name w:val="style4"/>
    <w:basedOn w:val="83"/>
    <w:qFormat/>
    <w:uiPriority w:val="0"/>
  </w:style>
  <w:style w:type="character" w:customStyle="1" w:styleId="235">
    <w:name w:val="WW8Num16z0"/>
    <w:qFormat/>
    <w:uiPriority w:val="0"/>
    <w:rPr>
      <w:rFonts w:ascii="Wingdings" w:hAnsi="Wingdings"/>
    </w:rPr>
  </w:style>
  <w:style w:type="character" w:customStyle="1" w:styleId="236">
    <w:name w:val="正文文本 (26)_"/>
    <w:link w:val="237"/>
    <w:qFormat/>
    <w:locked/>
    <w:uiPriority w:val="0"/>
    <w:rPr>
      <w:rFonts w:ascii="黑体" w:eastAsia="黑体"/>
      <w:sz w:val="29"/>
      <w:szCs w:val="29"/>
      <w:shd w:val="clear" w:color="auto" w:fill="FFFFFF"/>
    </w:rPr>
  </w:style>
  <w:style w:type="paragraph" w:customStyle="1" w:styleId="237">
    <w:name w:val="正文文本 (26)"/>
    <w:basedOn w:val="1"/>
    <w:link w:val="236"/>
    <w:qFormat/>
    <w:uiPriority w:val="0"/>
    <w:pPr>
      <w:widowControl/>
      <w:shd w:val="clear" w:color="auto" w:fill="FFFFFF"/>
      <w:spacing w:after="60" w:line="504" w:lineRule="exact"/>
      <w:jc w:val="distribute"/>
    </w:pPr>
    <w:rPr>
      <w:rFonts w:ascii="黑体" w:hAnsi="Times New Roman" w:eastAsia="黑体" w:cs="Times New Roman"/>
      <w:kern w:val="0"/>
      <w:sz w:val="29"/>
      <w:szCs w:val="29"/>
    </w:rPr>
  </w:style>
  <w:style w:type="character" w:customStyle="1" w:styleId="238">
    <w:name w:val="WW-Absatz-Standardschriftart"/>
    <w:qFormat/>
    <w:uiPriority w:val="0"/>
  </w:style>
  <w:style w:type="character" w:customStyle="1" w:styleId="239">
    <w:name w:val="z-窗体顶端 字符"/>
    <w:link w:val="240"/>
    <w:qFormat/>
    <w:uiPriority w:val="0"/>
    <w:rPr>
      <w:rFonts w:ascii="Arial" w:hAnsi="Arial"/>
      <w:vanish/>
      <w:sz w:val="16"/>
    </w:rPr>
  </w:style>
  <w:style w:type="paragraph" w:customStyle="1" w:styleId="240">
    <w:name w:val="z-窗体顶端1"/>
    <w:basedOn w:val="1"/>
    <w:next w:val="1"/>
    <w:link w:val="239"/>
    <w:qFormat/>
    <w:uiPriority w:val="0"/>
    <w:pPr>
      <w:widowControl/>
      <w:pBdr>
        <w:bottom w:val="single" w:color="auto" w:sz="6" w:space="1"/>
      </w:pBdr>
      <w:spacing w:line="240" w:lineRule="auto"/>
      <w:jc w:val="center"/>
    </w:pPr>
    <w:rPr>
      <w:rFonts w:ascii="Arial" w:hAnsi="Arial" w:cs="Times New Roman"/>
      <w:vanish/>
      <w:kern w:val="0"/>
      <w:sz w:val="16"/>
      <w:szCs w:val="20"/>
    </w:rPr>
  </w:style>
  <w:style w:type="character" w:customStyle="1" w:styleId="241">
    <w:name w:val="超链接1"/>
    <w:qFormat/>
    <w:uiPriority w:val="0"/>
    <w:rPr>
      <w:rFonts w:ascii="Arial" w:hAnsi="Arial" w:eastAsia="黑体"/>
      <w:color w:val="0000FF"/>
      <w:kern w:val="2"/>
      <w:sz w:val="21"/>
      <w:szCs w:val="21"/>
      <w:u w:val="single"/>
      <w:lang w:val="en-US" w:eastAsia="zh-CN" w:bidi="ar-SA"/>
    </w:rPr>
  </w:style>
  <w:style w:type="character" w:customStyle="1" w:styleId="242">
    <w:name w:val="脚注文本 Char1"/>
    <w:qFormat/>
    <w:uiPriority w:val="0"/>
    <w:rPr>
      <w:kern w:val="2"/>
      <w:sz w:val="18"/>
      <w:szCs w:val="18"/>
    </w:rPr>
  </w:style>
  <w:style w:type="character" w:customStyle="1" w:styleId="243">
    <w:name w:val="Absatz-Standardschriftart"/>
    <w:qFormat/>
    <w:uiPriority w:val="0"/>
  </w:style>
  <w:style w:type="character" w:customStyle="1" w:styleId="244">
    <w:name w:val="标题 Char1"/>
    <w:qFormat/>
    <w:uiPriority w:val="0"/>
    <w:rPr>
      <w:rFonts w:ascii="Cambria" w:hAnsi="Cambria" w:cs="Times New Roman"/>
      <w:b/>
      <w:kern w:val="2"/>
      <w:sz w:val="32"/>
      <w:szCs w:val="32"/>
    </w:rPr>
  </w:style>
  <w:style w:type="character" w:customStyle="1" w:styleId="245">
    <w:name w:val="引用 字符"/>
    <w:link w:val="246"/>
    <w:qFormat/>
    <w:uiPriority w:val="0"/>
    <w:rPr>
      <w:i/>
      <w:iCs/>
      <w:color w:val="000000"/>
    </w:rPr>
  </w:style>
  <w:style w:type="paragraph" w:customStyle="1" w:styleId="246">
    <w:name w:val="Quote1"/>
    <w:basedOn w:val="1"/>
    <w:next w:val="1"/>
    <w:link w:val="245"/>
    <w:qFormat/>
    <w:uiPriority w:val="0"/>
    <w:pPr>
      <w:spacing w:line="240" w:lineRule="auto"/>
      <w:jc w:val="both"/>
    </w:pPr>
    <w:rPr>
      <w:rFonts w:ascii="Times New Roman" w:hAnsi="Times New Roman" w:cs="Times New Roman"/>
      <w:i/>
      <w:iCs/>
      <w:color w:val="000000"/>
      <w:kern w:val="0"/>
      <w:sz w:val="20"/>
      <w:szCs w:val="20"/>
    </w:rPr>
  </w:style>
  <w:style w:type="character" w:customStyle="1" w:styleId="247">
    <w:name w:val="明显引用 字符"/>
    <w:link w:val="248"/>
    <w:qFormat/>
    <w:uiPriority w:val="0"/>
    <w:rPr>
      <w:b/>
      <w:i/>
      <w:iCs/>
      <w:color w:val="4F81BD"/>
    </w:rPr>
  </w:style>
  <w:style w:type="paragraph" w:customStyle="1" w:styleId="248">
    <w:name w:val="明显引用1"/>
    <w:basedOn w:val="1"/>
    <w:next w:val="1"/>
    <w:link w:val="247"/>
    <w:qFormat/>
    <w:uiPriority w:val="0"/>
    <w:pPr>
      <w:pBdr>
        <w:bottom w:val="single" w:color="4F81BD" w:sz="4" w:space="4"/>
      </w:pBdr>
      <w:spacing w:before="200" w:after="280" w:line="240" w:lineRule="auto"/>
      <w:ind w:left="936" w:right="936"/>
      <w:jc w:val="both"/>
    </w:pPr>
    <w:rPr>
      <w:rFonts w:ascii="Times New Roman" w:hAnsi="Times New Roman" w:cs="Times New Roman"/>
      <w:b/>
      <w:i/>
      <w:iCs/>
      <w:color w:val="4F81BD"/>
      <w:kern w:val="0"/>
      <w:sz w:val="20"/>
      <w:szCs w:val="20"/>
    </w:rPr>
  </w:style>
  <w:style w:type="character" w:customStyle="1" w:styleId="249">
    <w:name w:val="16"/>
    <w:qFormat/>
    <w:uiPriority w:val="0"/>
    <w:rPr>
      <w:rFonts w:hint="default" w:ascii="Times New Roman" w:hAnsi="Times New Roman" w:cs="Times New Roman"/>
      <w:color w:val="0000FF"/>
      <w:u w:val="single"/>
    </w:rPr>
  </w:style>
  <w:style w:type="character" w:customStyle="1" w:styleId="250">
    <w:name w:val="标题 2 Char1"/>
    <w:qFormat/>
    <w:locked/>
    <w:uiPriority w:val="0"/>
    <w:rPr>
      <w:rFonts w:ascii="Arial" w:hAnsi="Arial" w:eastAsia="黑体" w:cs="Arial"/>
      <w:b/>
      <w:sz w:val="32"/>
      <w:szCs w:val="32"/>
    </w:rPr>
  </w:style>
  <w:style w:type="character" w:customStyle="1" w:styleId="251">
    <w:name w:val="lineitems1"/>
    <w:qFormat/>
    <w:uiPriority w:val="0"/>
    <w:rPr>
      <w:sz w:val="17"/>
      <w:szCs w:val="17"/>
    </w:rPr>
  </w:style>
  <w:style w:type="character" w:customStyle="1" w:styleId="252">
    <w:name w:val="项目符号"/>
    <w:qFormat/>
    <w:uiPriority w:val="0"/>
    <w:rPr>
      <w:rFonts w:ascii="StarSymbol" w:hAnsi="StarSymbol" w:eastAsia="StarSymbol" w:cs="StarSymbol"/>
      <w:sz w:val="18"/>
      <w:szCs w:val="18"/>
    </w:rPr>
  </w:style>
  <w:style w:type="character" w:customStyle="1" w:styleId="253">
    <w:name w:val="WW8Num5z0"/>
    <w:qFormat/>
    <w:uiPriority w:val="0"/>
    <w:rPr>
      <w:rFonts w:ascii="Wingdings" w:hAnsi="Wingdings"/>
    </w:rPr>
  </w:style>
  <w:style w:type="character" w:customStyle="1" w:styleId="254">
    <w:name w:val="f101"/>
    <w:qFormat/>
    <w:uiPriority w:val="0"/>
    <w:rPr>
      <w:sz w:val="21"/>
      <w:szCs w:val="21"/>
    </w:rPr>
  </w:style>
  <w:style w:type="character" w:customStyle="1" w:styleId="255">
    <w:name w:val="WW-Absatz-Standardschriftart1"/>
    <w:qFormat/>
    <w:uiPriority w:val="0"/>
  </w:style>
  <w:style w:type="character" w:customStyle="1" w:styleId="256">
    <w:name w:val="font01"/>
    <w:qFormat/>
    <w:uiPriority w:val="0"/>
    <w:rPr>
      <w:rFonts w:hint="default" w:ascii="Times New Roman" w:hAnsi="Times New Roman" w:cs="Times New Roman"/>
      <w:color w:val="000000"/>
      <w:sz w:val="22"/>
      <w:szCs w:val="22"/>
      <w:u w:val="none"/>
    </w:rPr>
  </w:style>
  <w:style w:type="character" w:customStyle="1" w:styleId="257">
    <w:name w:val="type1"/>
    <w:qFormat/>
    <w:uiPriority w:val="0"/>
    <w:rPr>
      <w:rFonts w:hint="default" w:ascii="Arial" w:hAnsi="Arial" w:cs="Arial"/>
      <w:color w:val="666666"/>
      <w:sz w:val="18"/>
      <w:szCs w:val="18"/>
    </w:rPr>
  </w:style>
  <w:style w:type="character" w:customStyle="1" w:styleId="258">
    <w:name w:val="high1"/>
    <w:basedOn w:val="83"/>
    <w:qFormat/>
    <w:uiPriority w:val="0"/>
  </w:style>
  <w:style w:type="character" w:customStyle="1" w:styleId="259">
    <w:name w:val="WW8Num10z0"/>
    <w:qFormat/>
    <w:uiPriority w:val="0"/>
    <w:rPr>
      <w:rFonts w:ascii="Wingdings" w:hAnsi="Wingdings"/>
    </w:rPr>
  </w:style>
  <w:style w:type="character" w:customStyle="1" w:styleId="260">
    <w:name w:val="linkun1"/>
    <w:qFormat/>
    <w:uiPriority w:val="0"/>
    <w:rPr>
      <w:sz w:val="18"/>
      <w:szCs w:val="18"/>
    </w:rPr>
  </w:style>
  <w:style w:type="character" w:customStyle="1" w:styleId="261">
    <w:name w:val="HTML Markup"/>
    <w:qFormat/>
    <w:uiPriority w:val="0"/>
    <w:rPr>
      <w:vanish/>
      <w:color w:val="FF0000"/>
    </w:rPr>
  </w:style>
  <w:style w:type="character" w:customStyle="1" w:styleId="262">
    <w:name w:val="WW8Num14z0"/>
    <w:qFormat/>
    <w:uiPriority w:val="0"/>
    <w:rPr>
      <w:rFonts w:ascii="Wingdings" w:hAnsi="Wingdings"/>
    </w:rPr>
  </w:style>
  <w:style w:type="character" w:customStyle="1" w:styleId="263">
    <w:name w:val="unnamed21"/>
    <w:basedOn w:val="83"/>
    <w:qFormat/>
    <w:uiPriority w:val="0"/>
  </w:style>
  <w:style w:type="character" w:customStyle="1" w:styleId="264">
    <w:name w:val="（符号）邀请函中一、"/>
    <w:qFormat/>
    <w:uiPriority w:val="0"/>
    <w:rPr>
      <w:rFonts w:ascii="黑体" w:hAnsi="黑体" w:eastAsia="黑体"/>
      <w:b/>
      <w:sz w:val="24"/>
    </w:rPr>
  </w:style>
  <w:style w:type="character" w:customStyle="1" w:styleId="265">
    <w:name w:val="defaultbold1"/>
    <w:qFormat/>
    <w:uiPriority w:val="0"/>
    <w:rPr>
      <w:rFonts w:hint="default" w:ascii="ˎ̥" w:hAnsi="ˎ̥"/>
      <w:b/>
      <w:color w:val="000000"/>
      <w:sz w:val="15"/>
      <w:szCs w:val="15"/>
      <w:u w:val="none"/>
    </w:rPr>
  </w:style>
  <w:style w:type="character" w:customStyle="1" w:styleId="266">
    <w:name w:val="WW8Num4z0"/>
    <w:qFormat/>
    <w:uiPriority w:val="0"/>
    <w:rPr>
      <w:rFonts w:ascii="Wingdings" w:hAnsi="Wingdings"/>
    </w:rPr>
  </w:style>
  <w:style w:type="character" w:customStyle="1" w:styleId="267">
    <w:name w:val="默认段落字体1"/>
    <w:qFormat/>
    <w:uiPriority w:val="0"/>
  </w:style>
  <w:style w:type="character" w:customStyle="1" w:styleId="268">
    <w:name w:val="at_1"/>
    <w:basedOn w:val="83"/>
    <w:qFormat/>
    <w:uiPriority w:val="0"/>
  </w:style>
  <w:style w:type="character" w:customStyle="1" w:styleId="269">
    <w:name w:val="15"/>
    <w:qFormat/>
    <w:uiPriority w:val="0"/>
    <w:rPr>
      <w:rFonts w:hint="default" w:ascii="Times New Roman" w:hAnsi="Times New Roman" w:cs="Times New Roman"/>
      <w:color w:val="0000FF"/>
      <w:u w:val="single"/>
    </w:rPr>
  </w:style>
  <w:style w:type="character" w:customStyle="1" w:styleId="270">
    <w:name w:val="样式 宋体 小四"/>
    <w:qFormat/>
    <w:uiPriority w:val="0"/>
    <w:rPr>
      <w:sz w:val="24"/>
    </w:rPr>
  </w:style>
  <w:style w:type="character" w:customStyle="1" w:styleId="271">
    <w:name w:val="a21"/>
    <w:qFormat/>
    <w:uiPriority w:val="0"/>
    <w:rPr>
      <w:rFonts w:ascii="??" w:hAnsi="??" w:cs="??"/>
      <w:sz w:val="18"/>
      <w:szCs w:val="18"/>
    </w:rPr>
  </w:style>
  <w:style w:type="character" w:customStyle="1" w:styleId="272">
    <w:name w:val="称呼 字符1"/>
    <w:qFormat/>
    <w:uiPriority w:val="0"/>
    <w:rPr>
      <w:rFonts w:ascii="Times New Roman" w:hAnsi="Times New Roman" w:eastAsia="宋体" w:cs="Times New Roman"/>
      <w:kern w:val="0"/>
      <w:sz w:val="20"/>
      <w:szCs w:val="20"/>
    </w:rPr>
  </w:style>
  <w:style w:type="character" w:customStyle="1" w:styleId="273">
    <w:name w:val="HTML 预设格式 字符1"/>
    <w:qFormat/>
    <w:uiPriority w:val="0"/>
    <w:rPr>
      <w:rFonts w:ascii="Courier New" w:hAnsi="Courier New" w:eastAsia="宋体" w:cs="Courier New"/>
      <w:kern w:val="0"/>
      <w:sz w:val="20"/>
      <w:szCs w:val="20"/>
    </w:rPr>
  </w:style>
  <w:style w:type="character" w:customStyle="1" w:styleId="274">
    <w:name w:val="批注文字 字符1"/>
    <w:qFormat/>
    <w:uiPriority w:val="0"/>
    <w:rPr>
      <w:rFonts w:ascii="Times New Roman" w:hAnsi="Times New Roman" w:eastAsia="宋体" w:cs="Times New Roman"/>
      <w:kern w:val="0"/>
      <w:sz w:val="20"/>
      <w:szCs w:val="20"/>
    </w:rPr>
  </w:style>
  <w:style w:type="paragraph" w:customStyle="1" w:styleId="27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276">
    <w:name w:val="Pa4"/>
    <w:basedOn w:val="1"/>
    <w:next w:val="1"/>
    <w:qFormat/>
    <w:uiPriority w:val="0"/>
    <w:pPr>
      <w:autoSpaceDE w:val="0"/>
      <w:autoSpaceDN w:val="0"/>
      <w:adjustRightInd w:val="0"/>
      <w:spacing w:before="80" w:line="136" w:lineRule="auto"/>
    </w:pPr>
    <w:rPr>
      <w:rFonts w:hint="eastAsia" w:ascii="Helvetica-Condensed-Bold" w:hAnsi="Times New Roman" w:eastAsia="Helvetica-Condensed-Bold" w:cs="Times New Roman"/>
      <w:kern w:val="0"/>
      <w:sz w:val="20"/>
      <w:szCs w:val="20"/>
    </w:rPr>
  </w:style>
  <w:style w:type="paragraph" w:customStyle="1" w:styleId="277">
    <w:name w:val="No Spacing1"/>
    <w:link w:val="45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8">
    <w:name w:val="正文文本 字符1"/>
    <w:qFormat/>
    <w:uiPriority w:val="0"/>
    <w:rPr>
      <w:rFonts w:ascii="Times New Roman" w:hAnsi="Times New Roman" w:eastAsia="宋体" w:cs="Times New Roman"/>
      <w:kern w:val="0"/>
      <w:sz w:val="20"/>
      <w:szCs w:val="20"/>
    </w:rPr>
  </w:style>
  <w:style w:type="character" w:customStyle="1" w:styleId="279">
    <w:name w:val="电子邮件签名 字符1"/>
    <w:qFormat/>
    <w:uiPriority w:val="0"/>
    <w:rPr>
      <w:rFonts w:ascii="Times New Roman" w:hAnsi="Times New Roman" w:eastAsia="宋体" w:cs="Times New Roman"/>
      <w:kern w:val="0"/>
      <w:sz w:val="20"/>
      <w:szCs w:val="20"/>
    </w:rPr>
  </w:style>
  <w:style w:type="character" w:customStyle="1" w:styleId="280">
    <w:name w:val="标题 字符1"/>
    <w:qFormat/>
    <w:uiPriority w:val="0"/>
    <w:rPr>
      <w:rFonts w:ascii="等线 Light" w:hAnsi="等线 Light" w:eastAsia="等线 Light" w:cs="Times New Roman"/>
      <w:b/>
      <w:kern w:val="0"/>
      <w:sz w:val="32"/>
      <w:szCs w:val="32"/>
    </w:rPr>
  </w:style>
  <w:style w:type="character" w:customStyle="1" w:styleId="281">
    <w:name w:val="签名 字符1"/>
    <w:qFormat/>
    <w:uiPriority w:val="0"/>
    <w:rPr>
      <w:rFonts w:ascii="Times New Roman" w:hAnsi="Times New Roman" w:eastAsia="宋体" w:cs="Times New Roman"/>
      <w:kern w:val="0"/>
      <w:sz w:val="20"/>
      <w:szCs w:val="20"/>
    </w:rPr>
  </w:style>
  <w:style w:type="paragraph" w:customStyle="1" w:styleId="282">
    <w:name w:val="xl40"/>
    <w:basedOn w:val="1"/>
    <w:qFormat/>
    <w:uiPriority w:val="0"/>
    <w:pPr>
      <w:widowControl/>
      <w:spacing w:before="100" w:beforeAutospacing="1" w:after="100" w:afterAutospacing="1" w:line="240" w:lineRule="auto"/>
      <w:jc w:val="center"/>
    </w:pPr>
    <w:rPr>
      <w:rFonts w:ascii="Times New Roman" w:hAnsi="Times New Roman" w:cs="Times New Roman"/>
      <w:kern w:val="0"/>
      <w:sz w:val="20"/>
      <w:szCs w:val="21"/>
    </w:rPr>
  </w:style>
  <w:style w:type="paragraph" w:customStyle="1" w:styleId="283">
    <w:name w:val="样式 标题 3 + 段前: 0 磅 段后: 0 磅 行距: 固定值 18 磅"/>
    <w:basedOn w:val="5"/>
    <w:qFormat/>
    <w:uiPriority w:val="0"/>
    <w:pPr>
      <w:spacing w:before="0" w:after="0" w:line="500" w:lineRule="exact"/>
      <w:jc w:val="both"/>
    </w:pPr>
    <w:rPr>
      <w:rFonts w:ascii="Times New Roman" w:hAnsi="Times New Roman" w:cs="Times New Roman"/>
      <w:bCs w:val="0"/>
      <w:kern w:val="0"/>
      <w:sz w:val="24"/>
      <w:szCs w:val="20"/>
    </w:rPr>
  </w:style>
  <w:style w:type="character" w:customStyle="1" w:styleId="284">
    <w:name w:val="结束语 字符1"/>
    <w:qFormat/>
    <w:uiPriority w:val="0"/>
    <w:rPr>
      <w:rFonts w:ascii="Times New Roman" w:hAnsi="Times New Roman" w:eastAsia="宋体" w:cs="Times New Roman"/>
      <w:kern w:val="0"/>
      <w:sz w:val="20"/>
      <w:szCs w:val="20"/>
    </w:rPr>
  </w:style>
  <w:style w:type="character" w:customStyle="1" w:styleId="285">
    <w:name w:val="信息标题 字符1"/>
    <w:qFormat/>
    <w:uiPriority w:val="0"/>
    <w:rPr>
      <w:rFonts w:ascii="等线 Light" w:hAnsi="等线 Light" w:eastAsia="等线 Light" w:cs="Times New Roman"/>
      <w:kern w:val="0"/>
      <w:sz w:val="24"/>
      <w:szCs w:val="24"/>
      <w:shd w:val="pct20" w:color="auto" w:fill="auto"/>
    </w:rPr>
  </w:style>
  <w:style w:type="character" w:customStyle="1" w:styleId="286">
    <w:name w:val="HTML 地址 字符1"/>
    <w:qFormat/>
    <w:uiPriority w:val="0"/>
    <w:rPr>
      <w:rFonts w:ascii="Times New Roman" w:hAnsi="Times New Roman" w:eastAsia="宋体" w:cs="Times New Roman"/>
      <w:i/>
      <w:iCs/>
      <w:kern w:val="0"/>
      <w:sz w:val="20"/>
      <w:szCs w:val="20"/>
    </w:rPr>
  </w:style>
  <w:style w:type="character" w:customStyle="1" w:styleId="287">
    <w:name w:val="注释标题 字符1"/>
    <w:qFormat/>
    <w:uiPriority w:val="0"/>
    <w:rPr>
      <w:rFonts w:ascii="Times New Roman" w:hAnsi="Times New Roman" w:eastAsia="宋体" w:cs="Times New Roman"/>
      <w:kern w:val="0"/>
      <w:sz w:val="20"/>
      <w:szCs w:val="20"/>
    </w:rPr>
  </w:style>
  <w:style w:type="paragraph" w:customStyle="1" w:styleId="288">
    <w:name w:val="Char1"/>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289">
    <w:name w:val="1"/>
    <w:basedOn w:val="1"/>
    <w:next w:val="290"/>
    <w:qFormat/>
    <w:uiPriority w:val="0"/>
    <w:pPr>
      <w:suppressAutoHyphens/>
      <w:ind w:firstLine="480"/>
      <w:jc w:val="both"/>
    </w:pPr>
    <w:rPr>
      <w:rFonts w:ascii="Times New Roman" w:hAnsi="Times New Roman" w:cs="Times New Roman"/>
      <w:kern w:val="1"/>
      <w:szCs w:val="20"/>
      <w:lang w:eastAsia="ar-SA"/>
    </w:rPr>
  </w:style>
  <w:style w:type="paragraph" w:customStyle="1" w:styleId="290">
    <w:name w:val="正文文字缩进 3"/>
    <w:basedOn w:val="1"/>
    <w:qFormat/>
    <w:uiPriority w:val="0"/>
    <w:pPr>
      <w:suppressAutoHyphens/>
      <w:spacing w:after="120" w:line="240" w:lineRule="auto"/>
      <w:ind w:left="420"/>
      <w:jc w:val="both"/>
    </w:pPr>
    <w:rPr>
      <w:rFonts w:ascii="Times New Roman" w:hAnsi="Times New Roman" w:cs="Times New Roman"/>
      <w:kern w:val="1"/>
      <w:sz w:val="16"/>
      <w:szCs w:val="16"/>
      <w:lang w:eastAsia="ar-SA"/>
    </w:rPr>
  </w:style>
  <w:style w:type="character" w:customStyle="1" w:styleId="291">
    <w:name w:val="宏文本 字符1"/>
    <w:qFormat/>
    <w:uiPriority w:val="0"/>
    <w:rPr>
      <w:rFonts w:ascii="Courier New" w:hAnsi="Courier New" w:eastAsia="宋体" w:cs="Courier New"/>
      <w:kern w:val="0"/>
      <w:sz w:val="24"/>
      <w:szCs w:val="24"/>
    </w:rPr>
  </w:style>
  <w:style w:type="character" w:customStyle="1" w:styleId="292">
    <w:name w:val="正文文本缩进 2 字符1"/>
    <w:qFormat/>
    <w:uiPriority w:val="0"/>
    <w:rPr>
      <w:rFonts w:ascii="Times New Roman" w:hAnsi="Times New Roman" w:eastAsia="宋体" w:cs="Times New Roman"/>
      <w:kern w:val="0"/>
      <w:sz w:val="20"/>
      <w:szCs w:val="20"/>
    </w:rPr>
  </w:style>
  <w:style w:type="character" w:customStyle="1" w:styleId="293">
    <w:name w:val="纯文本 字符1"/>
    <w:qFormat/>
    <w:uiPriority w:val="0"/>
    <w:rPr>
      <w:rFonts w:ascii="等线" w:hAnsi="Courier New" w:cs="Courier New"/>
      <w:kern w:val="0"/>
      <w:sz w:val="20"/>
      <w:szCs w:val="20"/>
    </w:rPr>
  </w:style>
  <w:style w:type="paragraph" w:customStyle="1" w:styleId="294">
    <w:name w:val="MM Topic 1"/>
    <w:basedOn w:val="3"/>
    <w:qFormat/>
    <w:uiPriority w:val="0"/>
    <w:pPr>
      <w:spacing w:line="576" w:lineRule="auto"/>
      <w:jc w:val="both"/>
    </w:pPr>
    <w:rPr>
      <w:rFonts w:ascii="Times New Roman" w:hAnsi="Times New Roman" w:eastAsia="仿宋_GB2312" w:cs="Times New Roman"/>
      <w:b w:val="0"/>
      <w:bCs w:val="0"/>
      <w:sz w:val="32"/>
      <w:szCs w:val="32"/>
    </w:rPr>
  </w:style>
  <w:style w:type="character" w:customStyle="1" w:styleId="295">
    <w:name w:val="正文文本缩进 字符1"/>
    <w:qFormat/>
    <w:uiPriority w:val="0"/>
    <w:rPr>
      <w:rFonts w:ascii="Times New Roman" w:hAnsi="Times New Roman" w:eastAsia="宋体" w:cs="Times New Roman"/>
      <w:kern w:val="0"/>
      <w:sz w:val="20"/>
      <w:szCs w:val="20"/>
    </w:rPr>
  </w:style>
  <w:style w:type="character" w:customStyle="1" w:styleId="296">
    <w:name w:val="正文文本 2 字符1"/>
    <w:qFormat/>
    <w:uiPriority w:val="0"/>
    <w:rPr>
      <w:rFonts w:ascii="Times New Roman" w:hAnsi="Times New Roman" w:eastAsia="宋体" w:cs="Times New Roman"/>
      <w:kern w:val="0"/>
      <w:sz w:val="20"/>
      <w:szCs w:val="20"/>
    </w:rPr>
  </w:style>
  <w:style w:type="paragraph" w:customStyle="1" w:styleId="297">
    <w:name w:val="样式 首行缩进:  0.85 厘米"/>
    <w:basedOn w:val="1"/>
    <w:qFormat/>
    <w:uiPriority w:val="0"/>
    <w:pPr>
      <w:ind w:firstLine="200" w:firstLineChars="200"/>
      <w:jc w:val="both"/>
    </w:pPr>
    <w:rPr>
      <w:rFonts w:ascii="Times New Roman" w:hAnsi="Times New Roman" w:cs="Times New Roman"/>
      <w:kern w:val="0"/>
      <w:szCs w:val="20"/>
    </w:rPr>
  </w:style>
  <w:style w:type="character" w:customStyle="1" w:styleId="298">
    <w:name w:val="正文文本缩进 3 字符1"/>
    <w:qFormat/>
    <w:uiPriority w:val="0"/>
    <w:rPr>
      <w:rFonts w:ascii="Times New Roman" w:hAnsi="Times New Roman" w:eastAsia="宋体" w:cs="Times New Roman"/>
      <w:kern w:val="0"/>
      <w:sz w:val="16"/>
      <w:szCs w:val="16"/>
    </w:rPr>
  </w:style>
  <w:style w:type="character" w:customStyle="1" w:styleId="299">
    <w:name w:val="副标题 字符1"/>
    <w:qFormat/>
    <w:uiPriority w:val="0"/>
    <w:rPr>
      <w:b/>
      <w:kern w:val="28"/>
      <w:sz w:val="32"/>
      <w:szCs w:val="32"/>
    </w:rPr>
  </w:style>
  <w:style w:type="paragraph" w:customStyle="1" w:styleId="300">
    <w:name w:val="(符号)内容1五标题1.1.1"/>
    <w:basedOn w:val="1"/>
    <w:qFormat/>
    <w:uiPriority w:val="0"/>
    <w:pPr>
      <w:spacing w:line="240" w:lineRule="auto"/>
      <w:jc w:val="both"/>
    </w:pPr>
    <w:rPr>
      <w:rFonts w:ascii="Times New Roman" w:hAnsi="Times New Roman" w:cs="Times New Roman"/>
      <w:kern w:val="0"/>
      <w:sz w:val="20"/>
      <w:szCs w:val="20"/>
    </w:rPr>
  </w:style>
  <w:style w:type="character" w:customStyle="1" w:styleId="301">
    <w:name w:val="批注框文本 字符1"/>
    <w:qFormat/>
    <w:uiPriority w:val="0"/>
    <w:rPr>
      <w:rFonts w:ascii="Times New Roman" w:hAnsi="Times New Roman" w:eastAsia="宋体" w:cs="Times New Roman"/>
      <w:kern w:val="0"/>
      <w:sz w:val="18"/>
      <w:szCs w:val="18"/>
    </w:rPr>
  </w:style>
  <w:style w:type="character" w:customStyle="1" w:styleId="302">
    <w:name w:val="批注主题 字符1"/>
    <w:qFormat/>
    <w:uiPriority w:val="0"/>
    <w:rPr>
      <w:rFonts w:ascii="Times New Roman" w:hAnsi="Times New Roman" w:eastAsia="宋体" w:cs="Times New Roman"/>
      <w:b/>
      <w:kern w:val="0"/>
      <w:sz w:val="20"/>
      <w:szCs w:val="20"/>
    </w:rPr>
  </w:style>
  <w:style w:type="character" w:customStyle="1" w:styleId="303">
    <w:name w:val="文档结构图 字符1"/>
    <w:qFormat/>
    <w:uiPriority w:val="0"/>
    <w:rPr>
      <w:rFonts w:ascii="Microsoft YaHei UI" w:hAnsi="Times New Roman" w:eastAsia="Microsoft YaHei UI" w:cs="Times New Roman"/>
      <w:kern w:val="0"/>
      <w:sz w:val="18"/>
      <w:szCs w:val="18"/>
    </w:rPr>
  </w:style>
  <w:style w:type="paragraph" w:customStyle="1" w:styleId="30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character" w:customStyle="1" w:styleId="305">
    <w:name w:val="正文文本首行缩进 字符1"/>
    <w:qFormat/>
    <w:uiPriority w:val="0"/>
  </w:style>
  <w:style w:type="character" w:customStyle="1" w:styleId="306">
    <w:name w:val="尾注文本 字符1"/>
    <w:qFormat/>
    <w:uiPriority w:val="0"/>
    <w:rPr>
      <w:rFonts w:ascii="Times New Roman" w:hAnsi="Times New Roman" w:eastAsia="宋体" w:cs="Times New Roman"/>
      <w:kern w:val="0"/>
      <w:sz w:val="20"/>
      <w:szCs w:val="20"/>
    </w:rPr>
  </w:style>
  <w:style w:type="paragraph" w:customStyle="1" w:styleId="30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character" w:customStyle="1" w:styleId="308">
    <w:name w:val="脚注文本 字符1"/>
    <w:qFormat/>
    <w:uiPriority w:val="0"/>
    <w:rPr>
      <w:rFonts w:ascii="Times New Roman" w:hAnsi="Times New Roman" w:eastAsia="宋体" w:cs="Times New Roman"/>
      <w:kern w:val="0"/>
      <w:sz w:val="18"/>
      <w:szCs w:val="18"/>
    </w:rPr>
  </w:style>
  <w:style w:type="paragraph" w:customStyle="1" w:styleId="309">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character" w:customStyle="1" w:styleId="310">
    <w:name w:val="日期 字符1"/>
    <w:qFormat/>
    <w:uiPriority w:val="0"/>
    <w:rPr>
      <w:rFonts w:ascii="Times New Roman" w:hAnsi="Times New Roman" w:eastAsia="宋体" w:cs="Times New Roman"/>
      <w:kern w:val="0"/>
      <w:sz w:val="20"/>
      <w:szCs w:val="20"/>
    </w:rPr>
  </w:style>
  <w:style w:type="paragraph" w:customStyle="1" w:styleId="311">
    <w:name w:val="xl33"/>
    <w:basedOn w:val="1"/>
    <w:qFormat/>
    <w:uiPriority w:val="0"/>
    <w:pPr>
      <w:widowControl/>
      <w:spacing w:before="100" w:beforeAutospacing="1" w:after="100" w:afterAutospacing="1" w:line="240" w:lineRule="auto"/>
      <w:jc w:val="center"/>
    </w:pPr>
    <w:rPr>
      <w:rFonts w:cs="Times New Roman"/>
      <w:kern w:val="0"/>
      <w:szCs w:val="20"/>
    </w:rPr>
  </w:style>
  <w:style w:type="character" w:customStyle="1" w:styleId="312">
    <w:name w:val="引用 字符1"/>
    <w:qFormat/>
    <w:uiPriority w:val="0"/>
    <w:rPr>
      <w:rFonts w:ascii="Times New Roman" w:hAnsi="Times New Roman" w:eastAsia="宋体" w:cs="Times New Roman"/>
      <w:i/>
      <w:iCs/>
      <w:color w:val="404040"/>
      <w:kern w:val="0"/>
      <w:sz w:val="20"/>
      <w:szCs w:val="20"/>
    </w:rPr>
  </w:style>
  <w:style w:type="character" w:customStyle="1" w:styleId="313">
    <w:name w:val="正文文本 3 字符1"/>
    <w:qFormat/>
    <w:uiPriority w:val="0"/>
    <w:rPr>
      <w:rFonts w:ascii="Times New Roman" w:hAnsi="Times New Roman" w:eastAsia="宋体" w:cs="Times New Roman"/>
      <w:kern w:val="0"/>
      <w:sz w:val="16"/>
      <w:szCs w:val="16"/>
    </w:rPr>
  </w:style>
  <w:style w:type="character" w:customStyle="1" w:styleId="314">
    <w:name w:val="正文文本首行缩进 2 字符1"/>
    <w:qFormat/>
    <w:uiPriority w:val="0"/>
  </w:style>
  <w:style w:type="paragraph" w:customStyle="1" w:styleId="315">
    <w:name w:val="规范正文"/>
    <w:basedOn w:val="1"/>
    <w:qFormat/>
    <w:uiPriority w:val="0"/>
    <w:pPr>
      <w:suppressAutoHyphens/>
      <w:ind w:left="480"/>
      <w:jc w:val="both"/>
      <w:textAlignment w:val="baseline"/>
    </w:pPr>
    <w:rPr>
      <w:rFonts w:ascii="Times New Roman" w:hAnsi="Times New Roman" w:cs="Times New Roman"/>
      <w:kern w:val="1"/>
      <w:szCs w:val="20"/>
      <w:lang w:eastAsia="ar-SA"/>
    </w:rPr>
  </w:style>
  <w:style w:type="paragraph" w:customStyle="1" w:styleId="316">
    <w:name w:val="p16"/>
    <w:basedOn w:val="1"/>
    <w:qFormat/>
    <w:uiPriority w:val="0"/>
    <w:pPr>
      <w:widowControl/>
      <w:spacing w:line="240" w:lineRule="auto"/>
      <w:jc w:val="both"/>
    </w:pPr>
    <w:rPr>
      <w:rFonts w:ascii="Times New Roman" w:hAnsi="Times New Roman" w:cs="Times New Roman"/>
      <w:kern w:val="0"/>
      <w:sz w:val="20"/>
      <w:szCs w:val="21"/>
    </w:rPr>
  </w:style>
  <w:style w:type="paragraph" w:customStyle="1" w:styleId="317">
    <w:name w:val="表格"/>
    <w:basedOn w:val="1"/>
    <w:next w:val="1"/>
    <w:link w:val="578"/>
    <w:qFormat/>
    <w:uiPriority w:val="0"/>
    <w:pPr>
      <w:keepLines/>
      <w:topLinePunct/>
      <w:adjustRightInd w:val="0"/>
      <w:spacing w:line="240" w:lineRule="atLeast"/>
      <w:jc w:val="center"/>
    </w:pPr>
    <w:rPr>
      <w:rFonts w:ascii="Times New Roman" w:hAnsi="Times New Roman" w:cs="Times New Roman"/>
      <w:kern w:val="0"/>
      <w:szCs w:val="20"/>
    </w:rPr>
  </w:style>
  <w:style w:type="paragraph" w:customStyle="1" w:styleId="318">
    <w:name w:val="列出段落2"/>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19">
    <w:name w:val="四级条标题"/>
    <w:basedOn w:val="320"/>
    <w:next w:val="324"/>
    <w:qFormat/>
    <w:uiPriority w:val="0"/>
    <w:pPr>
      <w:ind w:left="3000"/>
      <w:outlineLvl w:val="5"/>
    </w:pPr>
  </w:style>
  <w:style w:type="paragraph" w:customStyle="1" w:styleId="320">
    <w:name w:val="三级条标题"/>
    <w:basedOn w:val="321"/>
    <w:next w:val="324"/>
    <w:qFormat/>
    <w:uiPriority w:val="0"/>
    <w:pPr>
      <w:ind w:left="2580"/>
      <w:outlineLvl w:val="4"/>
    </w:pPr>
  </w:style>
  <w:style w:type="paragraph" w:customStyle="1" w:styleId="321">
    <w:name w:val="二级条标题"/>
    <w:basedOn w:val="322"/>
    <w:next w:val="324"/>
    <w:qFormat/>
    <w:uiPriority w:val="0"/>
    <w:pPr>
      <w:ind w:left="0"/>
      <w:outlineLvl w:val="3"/>
    </w:pPr>
  </w:style>
  <w:style w:type="paragraph" w:customStyle="1" w:styleId="322">
    <w:name w:val="一级条标题"/>
    <w:basedOn w:val="323"/>
    <w:next w:val="324"/>
    <w:qFormat/>
    <w:uiPriority w:val="0"/>
    <w:pPr>
      <w:spacing w:before="0" w:beforeLines="0" w:after="0" w:afterLines="0"/>
      <w:ind w:left="1740" w:hanging="420"/>
      <w:outlineLvl w:val="2"/>
    </w:pPr>
  </w:style>
  <w:style w:type="paragraph" w:customStyle="1" w:styleId="323">
    <w:name w:val="章标题"/>
    <w:next w:val="324"/>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符号）内容四标题1.1.12"/>
    <w:basedOn w:val="1"/>
    <w:qFormat/>
    <w:uiPriority w:val="0"/>
    <w:pPr>
      <w:spacing w:line="500" w:lineRule="exact"/>
      <w:ind w:left="1000" w:hanging="1000"/>
      <w:jc w:val="both"/>
    </w:pPr>
    <w:rPr>
      <w:rFonts w:ascii="Times New Roman" w:hAnsi="Times New Roman" w:cs="Times New Roman"/>
      <w:kern w:val="0"/>
      <w:szCs w:val="20"/>
    </w:rPr>
  </w:style>
  <w:style w:type="paragraph" w:customStyle="1" w:styleId="32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0000"/>
      <w:kern w:val="0"/>
      <w:szCs w:val="20"/>
    </w:rPr>
  </w:style>
  <w:style w:type="paragraph" w:customStyle="1" w:styleId="327">
    <w:name w:val="样式 样式 样式 样式 标题 2 + 宋体 五号 非加粗 黑色 + 段前: 6 磅 段后: 0 磅 行距: 单倍行距 + 段前:..."/>
    <w:basedOn w:val="1"/>
    <w:qFormat/>
    <w:uiPriority w:val="0"/>
    <w:pPr>
      <w:keepNext/>
      <w:keepLines/>
      <w:adjustRightInd w:val="0"/>
      <w:spacing w:before="240" w:line="240" w:lineRule="auto"/>
      <w:ind w:left="1440" w:hanging="360"/>
      <w:textAlignment w:val="baseline"/>
      <w:outlineLvl w:val="1"/>
    </w:pPr>
    <w:rPr>
      <w:rFonts w:cs="宋体"/>
      <w:b/>
      <w:color w:val="000000"/>
      <w:kern w:val="0"/>
      <w:sz w:val="20"/>
      <w:szCs w:val="20"/>
    </w:rPr>
  </w:style>
  <w:style w:type="paragraph" w:customStyle="1" w:styleId="3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29">
    <w:name w:val="z-窗体底端 字符1"/>
    <w:qFormat/>
    <w:uiPriority w:val="0"/>
    <w:rPr>
      <w:rFonts w:ascii="Arial" w:hAnsi="Arial" w:eastAsia="宋体" w:cs="Arial"/>
      <w:vanish/>
      <w:kern w:val="0"/>
      <w:sz w:val="16"/>
      <w:szCs w:val="16"/>
    </w:rPr>
  </w:style>
  <w:style w:type="paragraph" w:customStyle="1" w:styleId="330">
    <w:name w:val="List Paragraph1"/>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31">
    <w:name w:val="（符号）内容三标题1."/>
    <w:basedOn w:val="1"/>
    <w:qFormat/>
    <w:uiPriority w:val="0"/>
    <w:pPr>
      <w:spacing w:before="140" w:after="140" w:line="500" w:lineRule="exact"/>
      <w:ind w:left="430" w:hanging="430"/>
      <w:jc w:val="both"/>
      <w:outlineLvl w:val="1"/>
    </w:pPr>
    <w:rPr>
      <w:rFonts w:ascii="Times New Roman" w:hAnsi="Times New Roman" w:eastAsia="楷体_GB2312" w:cs="Times New Roman"/>
      <w:b/>
      <w:kern w:val="0"/>
      <w:sz w:val="28"/>
      <w:szCs w:val="20"/>
    </w:rPr>
  </w:style>
  <w:style w:type="paragraph" w:customStyle="1" w:styleId="332">
    <w:name w:val="（符号）目录2"/>
    <w:basedOn w:val="1"/>
    <w:qFormat/>
    <w:uiPriority w:val="0"/>
    <w:pPr>
      <w:spacing w:line="500" w:lineRule="exact"/>
      <w:ind w:left="480"/>
      <w:jc w:val="both"/>
    </w:pPr>
    <w:rPr>
      <w:rFonts w:ascii="Times New Roman" w:hAnsi="Times New Roman" w:cs="宋体"/>
      <w:kern w:val="0"/>
      <w:szCs w:val="20"/>
    </w:rPr>
  </w:style>
  <w:style w:type="paragraph" w:customStyle="1" w:styleId="333">
    <w:name w:val="样式5"/>
    <w:basedOn w:val="1"/>
    <w:qFormat/>
    <w:uiPriority w:val="0"/>
    <w:pPr>
      <w:adjustRightInd w:val="0"/>
      <w:snapToGrid w:val="0"/>
      <w:spacing w:line="520" w:lineRule="exact"/>
      <w:ind w:firstLine="480" w:firstLineChars="200"/>
      <w:jc w:val="both"/>
    </w:pPr>
    <w:rPr>
      <w:rFonts w:ascii="仿宋_GB2312" w:hAnsi="Times New Roman" w:eastAsia="仿宋_GB2312" w:cs="Times New Roman"/>
      <w:kern w:val="0"/>
      <w:szCs w:val="20"/>
    </w:rPr>
  </w:style>
  <w:style w:type="paragraph" w:customStyle="1" w:styleId="334">
    <w:name w:val="文档正文首行缩进"/>
    <w:basedOn w:val="1"/>
    <w:qFormat/>
    <w:uiPriority w:val="0"/>
    <w:pPr>
      <w:ind w:firstLine="420"/>
      <w:jc w:val="both"/>
    </w:pPr>
    <w:rPr>
      <w:rFonts w:ascii="Times New Roman" w:hAnsi="Times New Roman" w:cs="宋体"/>
      <w:kern w:val="0"/>
      <w:szCs w:val="20"/>
    </w:rPr>
  </w:style>
  <w:style w:type="paragraph" w:customStyle="1" w:styleId="335">
    <w:name w:val="p0"/>
    <w:basedOn w:val="1"/>
    <w:qFormat/>
    <w:uiPriority w:val="0"/>
    <w:pPr>
      <w:widowControl/>
      <w:spacing w:line="240" w:lineRule="auto"/>
      <w:jc w:val="both"/>
    </w:pPr>
    <w:rPr>
      <w:rFonts w:ascii="Times New Roman" w:hAnsi="Times New Roman" w:cs="Times New Roman"/>
      <w:kern w:val="0"/>
      <w:sz w:val="20"/>
      <w:szCs w:val="21"/>
    </w:rPr>
  </w:style>
  <w:style w:type="paragraph" w:customStyle="1" w:styleId="336">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 w:val="0"/>
      <w:bCs w:val="0"/>
      <w:sz w:val="28"/>
      <w:szCs w:val="20"/>
    </w:rPr>
  </w:style>
  <w:style w:type="paragraph" w:customStyle="1" w:styleId="337">
    <w:name w:val="font0"/>
    <w:basedOn w:val="1"/>
    <w:qFormat/>
    <w:uiPriority w:val="0"/>
    <w:pPr>
      <w:widowControl/>
      <w:spacing w:before="100" w:beforeAutospacing="1" w:after="100" w:afterAutospacing="1" w:line="240" w:lineRule="auto"/>
    </w:pPr>
    <w:rPr>
      <w:rFonts w:cs="宋体"/>
      <w:kern w:val="0"/>
      <w:szCs w:val="20"/>
    </w:rPr>
  </w:style>
  <w:style w:type="paragraph" w:customStyle="1" w:styleId="338">
    <w:name w:val="xiao b"/>
    <w:basedOn w:val="1"/>
    <w:qFormat/>
    <w:uiPriority w:val="0"/>
    <w:pPr>
      <w:spacing w:line="240" w:lineRule="auto"/>
      <w:jc w:val="center"/>
    </w:pPr>
    <w:rPr>
      <w:rFonts w:ascii="Times New Roman" w:hAnsi="Times New Roman" w:eastAsia="黑体" w:cs="Times New Roman"/>
      <w:kern w:val="0"/>
      <w:szCs w:val="20"/>
    </w:rPr>
  </w:style>
  <w:style w:type="paragraph" w:customStyle="1" w:styleId="339">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b/>
      <w:color w:val="000000"/>
      <w:kern w:val="0"/>
      <w:szCs w:val="20"/>
    </w:rPr>
  </w:style>
  <w:style w:type="paragraph" w:customStyle="1" w:styleId="340">
    <w:name w:val="font5"/>
    <w:basedOn w:val="1"/>
    <w:qFormat/>
    <w:uiPriority w:val="0"/>
    <w:pPr>
      <w:widowControl/>
      <w:spacing w:before="100" w:beforeAutospacing="1" w:after="100" w:afterAutospacing="1" w:line="240" w:lineRule="auto"/>
    </w:pPr>
    <w:rPr>
      <w:rFonts w:cs="宋体"/>
      <w:kern w:val="0"/>
      <w:szCs w:val="20"/>
    </w:rPr>
  </w:style>
  <w:style w:type="paragraph" w:customStyle="1" w:styleId="341">
    <w:name w:val="Char Char1 Char Char Char Char"/>
    <w:basedOn w:val="1"/>
    <w:qFormat/>
    <w:uiPriority w:val="0"/>
    <w:pPr>
      <w:widowControl/>
      <w:spacing w:after="160" w:line="240" w:lineRule="exact"/>
    </w:pPr>
    <w:rPr>
      <w:rFonts w:ascii="Times New Roman" w:hAnsi="Times New Roman" w:cs="Times New Roman"/>
      <w:kern w:val="0"/>
      <w:sz w:val="20"/>
      <w:szCs w:val="20"/>
    </w:rPr>
  </w:style>
  <w:style w:type="paragraph" w:customStyle="1" w:styleId="34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color w:val="000000"/>
      <w:kern w:val="0"/>
      <w:szCs w:val="20"/>
    </w:rPr>
  </w:style>
  <w:style w:type="paragraph" w:customStyle="1" w:styleId="34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44">
    <w:name w:val="Char"/>
    <w:basedOn w:val="1"/>
    <w:qFormat/>
    <w:uiPriority w:val="0"/>
    <w:pPr>
      <w:snapToGrid w:val="0"/>
      <w:ind w:firstLine="200" w:firstLineChars="200"/>
      <w:jc w:val="both"/>
    </w:pPr>
    <w:rPr>
      <w:rFonts w:ascii="Times New Roman" w:hAnsi="Times New Roman" w:cs="Times New Roman"/>
      <w:kern w:val="0"/>
      <w:sz w:val="20"/>
      <w:szCs w:val="20"/>
    </w:rPr>
  </w:style>
  <w:style w:type="paragraph" w:customStyle="1" w:styleId="345">
    <w:name w:val="font8"/>
    <w:basedOn w:val="1"/>
    <w:qFormat/>
    <w:uiPriority w:val="0"/>
    <w:pPr>
      <w:widowControl/>
      <w:spacing w:before="100" w:beforeAutospacing="1" w:after="100" w:afterAutospacing="1" w:line="240" w:lineRule="auto"/>
    </w:pPr>
    <w:rPr>
      <w:rFonts w:cs="宋体"/>
      <w:kern w:val="0"/>
      <w:szCs w:val="20"/>
    </w:rPr>
  </w:style>
  <w:style w:type="paragraph" w:customStyle="1" w:styleId="346">
    <w:name w:val="菱形标号"/>
    <w:basedOn w:val="1"/>
    <w:qFormat/>
    <w:uiPriority w:val="0"/>
    <w:pPr>
      <w:ind w:left="902" w:hanging="390"/>
      <w:jc w:val="both"/>
    </w:pPr>
    <w:rPr>
      <w:rFonts w:ascii="Times New Roman" w:hAnsi="Times New Roman" w:cs="Times New Roman"/>
      <w:kern w:val="0"/>
      <w:szCs w:val="20"/>
    </w:rPr>
  </w:style>
  <w:style w:type="paragraph" w:customStyle="1" w:styleId="34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348">
    <w:name w:val="标题1"/>
    <w:basedOn w:val="1"/>
    <w:next w:val="31"/>
    <w:qFormat/>
    <w:uiPriority w:val="0"/>
    <w:pPr>
      <w:keepNext/>
      <w:suppressAutoHyphens/>
      <w:spacing w:before="240" w:after="120" w:line="240" w:lineRule="auto"/>
      <w:jc w:val="both"/>
    </w:pPr>
    <w:rPr>
      <w:rFonts w:ascii="AR PL ShanHeiSun Uni" w:hAnsi="AR PL ShanHeiSun Uni" w:eastAsia="AR PL ShanHeiSun Uni" w:cs="AR PL ShanHeiSun Uni"/>
      <w:kern w:val="1"/>
      <w:sz w:val="28"/>
      <w:szCs w:val="28"/>
      <w:lang w:eastAsia="ar-SA"/>
    </w:rPr>
  </w:style>
  <w:style w:type="paragraph" w:customStyle="1" w:styleId="349">
    <w:name w:val="文"/>
    <w:basedOn w:val="40"/>
    <w:qFormat/>
    <w:uiPriority w:val="0"/>
    <w:pPr>
      <w:ind w:firstLine="480" w:firstLineChars="200"/>
      <w:jc w:val="both"/>
    </w:pPr>
    <w:rPr>
      <w:rFonts w:hint="eastAsia" w:ascii="黑体" w:hAnsi="Times New Roman" w:eastAsia="黑体"/>
      <w:sz w:val="24"/>
    </w:rPr>
  </w:style>
  <w:style w:type="paragraph" w:customStyle="1" w:styleId="350">
    <w:name w:val="表格内容"/>
    <w:basedOn w:val="1"/>
    <w:qFormat/>
    <w:uiPriority w:val="0"/>
    <w:pPr>
      <w:suppressLineNumbers/>
      <w:suppressAutoHyphens/>
      <w:spacing w:line="240" w:lineRule="auto"/>
      <w:jc w:val="both"/>
    </w:pPr>
    <w:rPr>
      <w:rFonts w:ascii="Times New Roman" w:hAnsi="Times New Roman" w:cs="Times New Roman"/>
      <w:kern w:val="1"/>
      <w:sz w:val="20"/>
      <w:szCs w:val="20"/>
      <w:lang w:eastAsia="ar-SA"/>
    </w:rPr>
  </w:style>
  <w:style w:type="paragraph" w:customStyle="1" w:styleId="351">
    <w:name w:val="2"/>
    <w:basedOn w:val="1"/>
    <w:next w:val="40"/>
    <w:qFormat/>
    <w:uiPriority w:val="0"/>
    <w:pPr>
      <w:spacing w:line="240" w:lineRule="auto"/>
      <w:jc w:val="both"/>
    </w:pPr>
    <w:rPr>
      <w:rFonts w:hint="eastAsia" w:hAnsi="Courier New" w:cs="Times New Roman"/>
      <w:kern w:val="0"/>
      <w:sz w:val="20"/>
      <w:szCs w:val="20"/>
    </w:rPr>
  </w:style>
  <w:style w:type="paragraph" w:customStyle="1" w:styleId="352">
    <w:name w:val="(符号)一标题第一部分"/>
    <w:basedOn w:val="1"/>
    <w:qFormat/>
    <w:uiPriority w:val="0"/>
    <w:pPr>
      <w:spacing w:before="312" w:beforeLines="100" w:after="312" w:afterLines="100" w:line="500" w:lineRule="exact"/>
      <w:jc w:val="center"/>
      <w:outlineLvl w:val="1"/>
    </w:pPr>
    <w:rPr>
      <w:rFonts w:ascii="黑体" w:hAnsi="Times New Roman" w:eastAsia="黑体" w:cs="宋体"/>
      <w:b/>
      <w:kern w:val="0"/>
      <w:sz w:val="32"/>
      <w:szCs w:val="32"/>
    </w:rPr>
  </w:style>
  <w:style w:type="paragraph" w:customStyle="1" w:styleId="353">
    <w:name w:val="样式 宋体 小四 行距: 固定值 25 磅"/>
    <w:basedOn w:val="1"/>
    <w:qFormat/>
    <w:uiPriority w:val="0"/>
    <w:pPr>
      <w:spacing w:line="500" w:lineRule="exact"/>
      <w:jc w:val="both"/>
    </w:pPr>
    <w:rPr>
      <w:rFonts w:cs="宋体"/>
      <w:kern w:val="0"/>
      <w:szCs w:val="20"/>
    </w:rPr>
  </w:style>
  <w:style w:type="paragraph" w:customStyle="1" w:styleId="354">
    <w:name w:val="普通文字"/>
    <w:basedOn w:val="1"/>
    <w:qFormat/>
    <w:uiPriority w:val="0"/>
    <w:pPr>
      <w:suppressAutoHyphens/>
      <w:spacing w:line="240" w:lineRule="auto"/>
      <w:jc w:val="both"/>
    </w:pPr>
    <w:rPr>
      <w:rFonts w:cs="Courier New"/>
      <w:kern w:val="1"/>
      <w:sz w:val="20"/>
      <w:szCs w:val="21"/>
      <w:lang w:eastAsia="ar-SA"/>
    </w:rPr>
  </w:style>
  <w:style w:type="paragraph" w:customStyle="1" w:styleId="355">
    <w:name w:val="样式 标题 1 + 四号 居中 段前: 12 磅 段后: 12 磅 行距: 单倍行距"/>
    <w:basedOn w:val="3"/>
    <w:qFormat/>
    <w:uiPriority w:val="0"/>
    <w:pPr>
      <w:adjustRightInd w:val="0"/>
      <w:spacing w:before="240" w:after="240" w:line="240" w:lineRule="auto"/>
      <w:ind w:left="810" w:hanging="390"/>
      <w:textAlignment w:val="baseline"/>
    </w:pPr>
    <w:rPr>
      <w:rFonts w:ascii="Times New Roman" w:hAnsi="Times New Roman" w:eastAsia="宋体"/>
      <w:bCs w:val="0"/>
      <w:sz w:val="28"/>
      <w:szCs w:val="20"/>
    </w:rPr>
  </w:style>
  <w:style w:type="paragraph" w:customStyle="1" w:styleId="356">
    <w:name w:val="表格标题"/>
    <w:basedOn w:val="350"/>
    <w:qFormat/>
    <w:uiPriority w:val="0"/>
    <w:pPr>
      <w:jc w:val="center"/>
    </w:pPr>
    <w:rPr>
      <w:b/>
      <w:i/>
      <w:iCs/>
    </w:rPr>
  </w:style>
  <w:style w:type="paragraph" w:customStyle="1" w:styleId="357">
    <w:name w:val="（符号）内容四标题1.1"/>
    <w:basedOn w:val="1"/>
    <w:qFormat/>
    <w:uiPriority w:val="0"/>
    <w:pPr>
      <w:spacing w:line="500" w:lineRule="exact"/>
      <w:ind w:left="430" w:hanging="430"/>
      <w:jc w:val="both"/>
    </w:pPr>
    <w:rPr>
      <w:rFonts w:ascii="黑体" w:hAnsi="Times New Roman" w:cs="Times New Roman"/>
      <w:kern w:val="0"/>
      <w:szCs w:val="21"/>
    </w:rPr>
  </w:style>
  <w:style w:type="paragraph" w:customStyle="1" w:styleId="358">
    <w:name w:val="(符号)三标题1.1"/>
    <w:basedOn w:val="1"/>
    <w:qFormat/>
    <w:uiPriority w:val="0"/>
    <w:pPr>
      <w:numPr>
        <w:ilvl w:val="0"/>
        <w:numId w:val="4"/>
      </w:numPr>
      <w:spacing w:before="140" w:after="140" w:line="500" w:lineRule="exact"/>
      <w:jc w:val="both"/>
      <w:outlineLvl w:val="2"/>
    </w:pPr>
    <w:rPr>
      <w:rFonts w:ascii="楷体_GB2312" w:eastAsia="楷体_GB2312" w:cs="宋体"/>
      <w:b/>
      <w:kern w:val="0"/>
      <w:sz w:val="28"/>
      <w:szCs w:val="20"/>
    </w:rPr>
  </w:style>
  <w:style w:type="paragraph" w:customStyle="1" w:styleId="359">
    <w:name w:val="样式2"/>
    <w:basedOn w:val="1"/>
    <w:qFormat/>
    <w:uiPriority w:val="0"/>
    <w:pPr>
      <w:spacing w:line="500" w:lineRule="exact"/>
      <w:ind w:left="430" w:hanging="430"/>
      <w:jc w:val="both"/>
    </w:pPr>
    <w:rPr>
      <w:rFonts w:ascii="Times New Roman" w:hAnsi="Times New Roman" w:cs="Times New Roman"/>
      <w:kern w:val="0"/>
      <w:szCs w:val="20"/>
    </w:rPr>
  </w:style>
  <w:style w:type="paragraph" w:customStyle="1" w:styleId="360">
    <w:name w:val="(符号)标书正文"/>
    <w:basedOn w:val="1"/>
    <w:qFormat/>
    <w:uiPriority w:val="0"/>
    <w:pPr>
      <w:spacing w:line="500" w:lineRule="exact"/>
      <w:ind w:left="420"/>
      <w:jc w:val="both"/>
    </w:pPr>
    <w:rPr>
      <w:rFonts w:cs="宋体"/>
      <w:kern w:val="0"/>
      <w:szCs w:val="20"/>
    </w:rPr>
  </w:style>
  <w:style w:type="paragraph" w:customStyle="1" w:styleId="361">
    <w:name w:val="目次、标准名称标题"/>
    <w:basedOn w:val="328"/>
    <w:next w:val="324"/>
    <w:qFormat/>
    <w:uiPriority w:val="0"/>
    <w:pPr>
      <w:spacing w:line="460" w:lineRule="exact"/>
    </w:pPr>
  </w:style>
  <w:style w:type="paragraph" w:customStyle="1" w:styleId="362">
    <w:name w:val="五级条标题"/>
    <w:basedOn w:val="319"/>
    <w:next w:val="324"/>
    <w:qFormat/>
    <w:uiPriority w:val="0"/>
    <w:pPr>
      <w:ind w:left="3420"/>
      <w:outlineLvl w:val="6"/>
    </w:pPr>
  </w:style>
  <w:style w:type="paragraph" w:customStyle="1" w:styleId="363">
    <w:name w:val="内容目录 10"/>
    <w:basedOn w:val="109"/>
    <w:qFormat/>
    <w:uiPriority w:val="0"/>
    <w:pPr>
      <w:suppressLineNumbers/>
      <w:suppressAutoHyphens/>
      <w:spacing w:line="240" w:lineRule="auto"/>
      <w:ind w:left="2547" w:firstLine="0" w:firstLineChars="0"/>
      <w:jc w:val="both"/>
    </w:pPr>
    <w:rPr>
      <w:rFonts w:ascii="Times New Roman" w:hAnsi="Times New Roman"/>
      <w:kern w:val="1"/>
      <w:sz w:val="20"/>
      <w:szCs w:val="20"/>
      <w:lang w:eastAsia="ar-SA"/>
    </w:rPr>
  </w:style>
  <w:style w:type="paragraph" w:customStyle="1" w:styleId="364">
    <w:name w:val="列出段落{858D7CFB-ED40-4347-BF05-701D383B685F}{858D7CFB-ED40-4347-BF05-701D383B685F}"/>
    <w:basedOn w:val="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36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66">
    <w:name w:val="重点"/>
    <w:basedOn w:val="1"/>
    <w:qFormat/>
    <w:uiPriority w:val="0"/>
    <w:pPr>
      <w:ind w:left="284"/>
      <w:jc w:val="both"/>
    </w:pPr>
    <w:rPr>
      <w:rFonts w:ascii="Arial Black" w:hAnsi="Arial Black" w:eastAsia="楷体_GB2312" w:cs="Arial Black"/>
      <w:b/>
      <w:kern w:val="0"/>
      <w:sz w:val="28"/>
      <w:szCs w:val="28"/>
    </w:rPr>
  </w:style>
  <w:style w:type="paragraph" w:customStyle="1" w:styleId="367">
    <w:name w:val="（符号）二标题1."/>
    <w:basedOn w:val="1"/>
    <w:qFormat/>
    <w:uiPriority w:val="0"/>
    <w:pPr>
      <w:spacing w:line="240" w:lineRule="auto"/>
      <w:jc w:val="both"/>
    </w:pPr>
    <w:rPr>
      <w:rFonts w:ascii="Times New Roman" w:hAnsi="Times New Roman" w:cs="Times New Roman"/>
      <w:kern w:val="0"/>
      <w:sz w:val="20"/>
      <w:szCs w:val="20"/>
    </w:rPr>
  </w:style>
  <w:style w:type="paragraph" w:customStyle="1" w:styleId="36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0000"/>
      <w:kern w:val="0"/>
      <w:szCs w:val="20"/>
    </w:rPr>
  </w:style>
  <w:style w:type="paragraph" w:customStyle="1" w:styleId="369">
    <w:name w:val="表格文本"/>
    <w:basedOn w:val="1"/>
    <w:qFormat/>
    <w:uiPriority w:val="0"/>
    <w:pPr>
      <w:autoSpaceDE w:val="0"/>
      <w:autoSpaceDN w:val="0"/>
      <w:adjustRightInd w:val="0"/>
      <w:spacing w:line="240" w:lineRule="auto"/>
    </w:pPr>
    <w:rPr>
      <w:rFonts w:ascii="Arial" w:hAnsi="Arial" w:cs="Times New Roman"/>
      <w:kern w:val="0"/>
      <w:sz w:val="20"/>
      <w:szCs w:val="21"/>
    </w:rPr>
  </w:style>
  <w:style w:type="paragraph" w:customStyle="1" w:styleId="370">
    <w:name w:val="（符号）投标一、"/>
    <w:basedOn w:val="1"/>
    <w:qFormat/>
    <w:uiPriority w:val="0"/>
    <w:pPr>
      <w:spacing w:line="460" w:lineRule="exact"/>
      <w:ind w:left="980" w:hanging="498"/>
      <w:jc w:val="both"/>
    </w:pPr>
    <w:rPr>
      <w:rFonts w:ascii="Times New Roman" w:hAnsi="Times New Roman" w:cs="Times New Roman"/>
      <w:kern w:val="0"/>
      <w:sz w:val="20"/>
      <w:szCs w:val="20"/>
    </w:rPr>
  </w:style>
  <w:style w:type="paragraph" w:customStyle="1" w:styleId="371">
    <w:name w:val="（符号）二标题总则"/>
    <w:basedOn w:val="352"/>
    <w:qFormat/>
    <w:uiPriority w:val="0"/>
    <w:pPr>
      <w:spacing w:before="156" w:beforeLines="50" w:after="156" w:afterLines="50" w:line="440" w:lineRule="atLeast"/>
    </w:pPr>
  </w:style>
  <w:style w:type="paragraph" w:customStyle="1" w:styleId="372">
    <w:name w:val="正文文字 3"/>
    <w:basedOn w:val="1"/>
    <w:qFormat/>
    <w:uiPriority w:val="0"/>
    <w:pPr>
      <w:suppressAutoHyphens/>
      <w:spacing w:after="120" w:line="240" w:lineRule="auto"/>
      <w:jc w:val="both"/>
    </w:pPr>
    <w:rPr>
      <w:rFonts w:ascii="Times New Roman" w:hAnsi="Times New Roman" w:cs="Times New Roman"/>
      <w:kern w:val="1"/>
      <w:sz w:val="16"/>
      <w:szCs w:val="16"/>
      <w:lang w:eastAsia="ar-SA"/>
    </w:rPr>
  </w:style>
  <w:style w:type="paragraph" w:customStyle="1" w:styleId="373">
    <w:name w:val="（符号）内容四标题1.1.1"/>
    <w:basedOn w:val="1"/>
    <w:qFormat/>
    <w:uiPriority w:val="0"/>
    <w:pPr>
      <w:spacing w:line="500" w:lineRule="exact"/>
      <w:ind w:left="1000" w:hanging="1000"/>
      <w:jc w:val="both"/>
    </w:pPr>
    <w:rPr>
      <w:rFonts w:cs="Times New Roman"/>
      <w:kern w:val="0"/>
      <w:szCs w:val="20"/>
    </w:rPr>
  </w:style>
  <w:style w:type="paragraph" w:customStyle="1" w:styleId="374">
    <w:name w:val="font7"/>
    <w:basedOn w:val="1"/>
    <w:qFormat/>
    <w:uiPriority w:val="0"/>
    <w:pPr>
      <w:widowControl/>
      <w:spacing w:before="100" w:beforeAutospacing="1" w:after="100" w:afterAutospacing="1" w:line="240" w:lineRule="auto"/>
    </w:pPr>
    <w:rPr>
      <w:rFonts w:ascii="Times New Roman" w:hAnsi="Times New Roman" w:cs="Times New Roman"/>
      <w:b/>
      <w:kern w:val="0"/>
      <w:sz w:val="22"/>
    </w:rPr>
  </w:style>
  <w:style w:type="paragraph" w:customStyle="1" w:styleId="37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76">
    <w:name w:val="Char Char Char"/>
    <w:basedOn w:val="1"/>
    <w:qFormat/>
    <w:uiPriority w:val="0"/>
    <w:pPr>
      <w:spacing w:line="240" w:lineRule="auto"/>
      <w:jc w:val="both"/>
    </w:pPr>
    <w:rPr>
      <w:rFonts w:ascii="Tahoma" w:hAnsi="Tahoma" w:cs="Times New Roman"/>
      <w:kern w:val="0"/>
      <w:szCs w:val="20"/>
    </w:rPr>
  </w:style>
  <w:style w:type="paragraph" w:customStyle="1" w:styleId="377">
    <w:name w:val="书目1"/>
    <w:basedOn w:val="1"/>
    <w:next w:val="1"/>
    <w:qFormat/>
    <w:uiPriority w:val="0"/>
    <w:pPr>
      <w:spacing w:line="240" w:lineRule="auto"/>
      <w:jc w:val="both"/>
    </w:pPr>
    <w:rPr>
      <w:rFonts w:ascii="Times New Roman" w:hAnsi="Times New Roman" w:cs="Times New Roman"/>
      <w:kern w:val="0"/>
      <w:sz w:val="20"/>
      <w:szCs w:val="20"/>
    </w:rPr>
  </w:style>
  <w:style w:type="paragraph" w:customStyle="1" w:styleId="378">
    <w:name w:val="p17"/>
    <w:basedOn w:val="1"/>
    <w:qFormat/>
    <w:uiPriority w:val="0"/>
    <w:pPr>
      <w:widowControl/>
      <w:spacing w:line="240" w:lineRule="auto"/>
      <w:ind w:firstLine="630"/>
      <w:jc w:val="both"/>
    </w:pPr>
    <w:rPr>
      <w:rFonts w:cs="宋体"/>
      <w:kern w:val="0"/>
      <w:sz w:val="32"/>
      <w:szCs w:val="32"/>
    </w:rPr>
  </w:style>
  <w:style w:type="paragraph" w:customStyle="1" w:styleId="379">
    <w:name w:val="论文正文(教授"/>
    <w:basedOn w:val="1"/>
    <w:qFormat/>
    <w:uiPriority w:val="0"/>
    <w:pPr>
      <w:snapToGrid w:val="0"/>
      <w:spacing w:line="320" w:lineRule="atLeast"/>
      <w:ind w:firstLine="200" w:firstLineChars="200"/>
      <w:jc w:val="both"/>
    </w:pPr>
    <w:rPr>
      <w:rFonts w:ascii="仿宋_GB2312" w:hAnsi="仿宋_GB2312" w:cs="Times New Roman"/>
      <w:spacing w:val="12"/>
      <w:kern w:val="0"/>
      <w:sz w:val="20"/>
      <w:szCs w:val="20"/>
    </w:rPr>
  </w:style>
  <w:style w:type="paragraph" w:customStyle="1" w:styleId="38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0"/>
    </w:rPr>
  </w:style>
  <w:style w:type="paragraph" w:customStyle="1" w:styleId="381">
    <w:name w:val="日期1"/>
    <w:basedOn w:val="1"/>
    <w:next w:val="1"/>
    <w:qFormat/>
    <w:uiPriority w:val="0"/>
    <w:pPr>
      <w:suppressAutoHyphens/>
      <w:spacing w:line="240" w:lineRule="auto"/>
      <w:ind w:left="100"/>
      <w:jc w:val="both"/>
    </w:pPr>
    <w:rPr>
      <w:rFonts w:ascii="Times New Roman" w:hAnsi="Times New Roman" w:eastAsia="楷体_GB2312" w:cs="Times New Roman"/>
      <w:b/>
      <w:kern w:val="1"/>
      <w:sz w:val="36"/>
      <w:szCs w:val="30"/>
      <w:lang w:eastAsia="ar-SA"/>
    </w:rPr>
  </w:style>
  <w:style w:type="paragraph" w:customStyle="1" w:styleId="382">
    <w:name w:val="（符号）目录3"/>
    <w:basedOn w:val="1"/>
    <w:qFormat/>
    <w:uiPriority w:val="0"/>
    <w:pPr>
      <w:spacing w:line="500" w:lineRule="exact"/>
      <w:ind w:left="1000"/>
      <w:jc w:val="both"/>
    </w:pPr>
    <w:rPr>
      <w:rFonts w:ascii="Times New Roman" w:hAnsi="Times New Roman" w:cs="宋体"/>
      <w:kern w:val="0"/>
      <w:szCs w:val="20"/>
    </w:rPr>
  </w:style>
  <w:style w:type="paragraph" w:customStyle="1" w:styleId="38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84">
    <w:name w:val="框内容"/>
    <w:basedOn w:val="31"/>
    <w:qFormat/>
    <w:uiPriority w:val="0"/>
    <w:pPr>
      <w:suppressAutoHyphens/>
    </w:pPr>
    <w:rPr>
      <w:rFonts w:ascii="等线" w:hAnsi="等线" w:cs="Times New Roman"/>
      <w:kern w:val="1"/>
      <w:lang w:eastAsia="ar-SA"/>
    </w:rPr>
  </w:style>
  <w:style w:type="paragraph" w:customStyle="1" w:styleId="385">
    <w:name w:val="样式 小四 行距: 固定值 25 磅"/>
    <w:basedOn w:val="1"/>
    <w:next w:val="386"/>
    <w:qFormat/>
    <w:uiPriority w:val="0"/>
    <w:pPr>
      <w:spacing w:line="500" w:lineRule="exact"/>
      <w:jc w:val="both"/>
    </w:pPr>
    <w:rPr>
      <w:rFonts w:ascii="Times New Roman" w:hAnsi="Times New Roman" w:cs="宋体"/>
      <w:kern w:val="0"/>
      <w:szCs w:val="20"/>
    </w:rPr>
  </w:style>
  <w:style w:type="paragraph" w:customStyle="1" w:styleId="386">
    <w:name w:val="（符号）目录1"/>
    <w:basedOn w:val="1"/>
    <w:qFormat/>
    <w:uiPriority w:val="0"/>
    <w:pPr>
      <w:spacing w:line="500" w:lineRule="exact"/>
      <w:jc w:val="both"/>
    </w:pPr>
    <w:rPr>
      <w:rFonts w:ascii="Times New Roman" w:hAnsi="Times New Roman" w:cs="宋体"/>
      <w:kern w:val="0"/>
      <w:szCs w:val="20"/>
    </w:rPr>
  </w:style>
  <w:style w:type="paragraph" w:customStyle="1" w:styleId="387">
    <w:name w:val="正文2"/>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88">
    <w:name w:val="(符号)四标题1.1"/>
    <w:basedOn w:val="1"/>
    <w:qFormat/>
    <w:uiPriority w:val="0"/>
    <w:pPr>
      <w:spacing w:line="500" w:lineRule="exact"/>
      <w:ind w:left="567" w:hanging="567"/>
      <w:jc w:val="both"/>
    </w:pPr>
    <w:rPr>
      <w:rFonts w:cs="宋体"/>
      <w:color w:val="000000"/>
      <w:kern w:val="0"/>
      <w:szCs w:val="20"/>
    </w:rPr>
  </w:style>
  <w:style w:type="paragraph" w:customStyle="1" w:styleId="38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color w:val="000000"/>
      <w:kern w:val="0"/>
      <w:szCs w:val="20"/>
    </w:rPr>
  </w:style>
  <w:style w:type="paragraph" w:customStyle="1" w:styleId="390">
    <w:name w:val="Char Char1 Char Char Char Char Char Char Char Char Char Char Char Char Char Char Char"/>
    <w:basedOn w:val="1"/>
    <w:qFormat/>
    <w:uiPriority w:val="0"/>
    <w:pPr>
      <w:widowControl/>
      <w:spacing w:after="160" w:line="240" w:lineRule="exact"/>
    </w:pPr>
    <w:rPr>
      <w:rFonts w:ascii="Times New Roman" w:hAnsi="Times New Roman" w:cs="Times New Roman"/>
      <w:kern w:val="0"/>
      <w:sz w:val="28"/>
      <w:szCs w:val="20"/>
    </w:rPr>
  </w:style>
  <w:style w:type="paragraph" w:customStyle="1" w:styleId="39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color w:val="000000"/>
      <w:kern w:val="0"/>
      <w:szCs w:val="20"/>
    </w:rPr>
  </w:style>
  <w:style w:type="paragraph" w:customStyle="1" w:styleId="392">
    <w:name w:val="Blockquote"/>
    <w:basedOn w:val="1"/>
    <w:qFormat/>
    <w:uiPriority w:val="0"/>
    <w:pPr>
      <w:autoSpaceDE w:val="0"/>
      <w:autoSpaceDN w:val="0"/>
      <w:adjustRightInd w:val="0"/>
      <w:spacing w:before="100" w:after="100" w:line="240" w:lineRule="auto"/>
      <w:ind w:left="360" w:right="360"/>
    </w:pPr>
    <w:rPr>
      <w:rFonts w:ascii="Times New Roman" w:hAnsi="Times New Roman" w:cs="Times New Roman"/>
      <w:kern w:val="0"/>
      <w:szCs w:val="20"/>
    </w:rPr>
  </w:style>
  <w:style w:type="paragraph" w:customStyle="1" w:styleId="393">
    <w:name w:val="样式 标题 4 + 行距: 多倍行距 1.57 字行"/>
    <w:basedOn w:val="6"/>
    <w:qFormat/>
    <w:uiPriority w:val="0"/>
    <w:pPr>
      <w:widowControl/>
      <w:spacing w:line="377" w:lineRule="auto"/>
      <w:ind w:left="150" w:leftChars="50"/>
    </w:pPr>
    <w:rPr>
      <w:rFonts w:ascii="Arial" w:hAnsi="Arial" w:eastAsia="仿宋_GB2312" w:cs="Arial"/>
      <w:bCs w:val="0"/>
      <w:sz w:val="30"/>
      <w:szCs w:val="30"/>
    </w:rPr>
  </w:style>
  <w:style w:type="paragraph" w:customStyle="1" w:styleId="394">
    <w:name w:val="圆点标号"/>
    <w:basedOn w:val="1"/>
    <w:qFormat/>
    <w:uiPriority w:val="0"/>
    <w:pPr>
      <w:ind w:left="839" w:hanging="357"/>
      <w:jc w:val="both"/>
    </w:pPr>
    <w:rPr>
      <w:rFonts w:ascii="Times New Roman" w:hAnsi="Times New Roman" w:cs="Times New Roman"/>
      <w:kern w:val="0"/>
      <w:szCs w:val="20"/>
    </w:rPr>
  </w:style>
  <w:style w:type="paragraph" w:customStyle="1" w:styleId="395">
    <w:name w:val="（符号）二标题1"/>
    <w:basedOn w:val="1"/>
    <w:qFormat/>
    <w:uiPriority w:val="0"/>
    <w:pPr>
      <w:spacing w:before="140" w:after="140" w:line="500" w:lineRule="exact"/>
      <w:jc w:val="both"/>
      <w:outlineLvl w:val="1"/>
    </w:pPr>
    <w:rPr>
      <w:rFonts w:ascii="楷体_GB2312" w:hAnsi="Times New Roman" w:eastAsia="楷体_GB2312" w:cs="宋体"/>
      <w:b/>
      <w:kern w:val="0"/>
      <w:sz w:val="28"/>
      <w:szCs w:val="20"/>
    </w:rPr>
  </w:style>
  <w:style w:type="paragraph" w:customStyle="1" w:styleId="396">
    <w:name w:val="样式 标题 3 + (中文) 黑体 小四 非加粗 段前: 7.8 磅 段后: 0 磅 行距: 固定值 20 磅"/>
    <w:basedOn w:val="5"/>
    <w:qFormat/>
    <w:uiPriority w:val="0"/>
    <w:pPr>
      <w:spacing w:before="0" w:after="0" w:line="400" w:lineRule="exact"/>
      <w:jc w:val="both"/>
    </w:pPr>
    <w:rPr>
      <w:rFonts w:ascii="Times New Roman" w:hAnsi="Times New Roman" w:eastAsia="黑体" w:cs="宋体"/>
      <w:b w:val="0"/>
      <w:bCs w:val="0"/>
      <w:kern w:val="0"/>
      <w:sz w:val="24"/>
      <w:szCs w:val="20"/>
    </w:rPr>
  </w:style>
  <w:style w:type="paragraph" w:customStyle="1" w:styleId="39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398">
    <w:name w:val="样式 标题 4 + 左侧:  1.11 厘米"/>
    <w:basedOn w:val="6"/>
    <w:qFormat/>
    <w:uiPriority w:val="0"/>
    <w:pPr>
      <w:widowControl/>
      <w:spacing w:line="377" w:lineRule="auto"/>
    </w:pPr>
    <w:rPr>
      <w:rFonts w:ascii="Arial" w:hAnsi="Arial" w:eastAsia="黑体" w:cs="Arial"/>
      <w:bCs w:val="0"/>
      <w:sz w:val="30"/>
      <w:szCs w:val="30"/>
    </w:rPr>
  </w:style>
  <w:style w:type="character" w:customStyle="1" w:styleId="399">
    <w:name w:val="明显引用 字符1"/>
    <w:qFormat/>
    <w:uiPriority w:val="0"/>
    <w:rPr>
      <w:rFonts w:ascii="Times New Roman" w:hAnsi="Times New Roman" w:eastAsia="宋体" w:cs="Times New Roman"/>
      <w:i/>
      <w:iCs/>
      <w:color w:val="4472C4"/>
      <w:kern w:val="0"/>
      <w:sz w:val="20"/>
      <w:szCs w:val="20"/>
    </w:rPr>
  </w:style>
  <w:style w:type="paragraph" w:customStyle="1" w:styleId="400">
    <w:name w:val="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01">
    <w:name w:val="Char Char Char Char Char Char Char Char Char Char Char Char Char Char Char 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02">
    <w:name w:val="样式1"/>
    <w:basedOn w:val="1"/>
    <w:qFormat/>
    <w:uiPriority w:val="0"/>
    <w:pPr>
      <w:adjustRightInd w:val="0"/>
      <w:spacing w:line="240" w:lineRule="auto"/>
      <w:ind w:left="709" w:hanging="709"/>
      <w:jc w:val="both"/>
      <w:textAlignment w:val="baseline"/>
    </w:pPr>
    <w:rPr>
      <w:rFonts w:cs="Times New Roman"/>
      <w:kern w:val="0"/>
      <w:sz w:val="20"/>
      <w:szCs w:val="21"/>
    </w:rPr>
  </w:style>
  <w:style w:type="paragraph" w:customStyle="1" w:styleId="403">
    <w:name w:val="纯文本3"/>
    <w:basedOn w:val="1"/>
    <w:qFormat/>
    <w:uiPriority w:val="0"/>
    <w:pPr>
      <w:spacing w:line="240" w:lineRule="auto"/>
      <w:jc w:val="both"/>
    </w:pPr>
    <w:rPr>
      <w:rFonts w:hAnsi="Courier New" w:cs="Times New Roman"/>
      <w:kern w:val="0"/>
      <w:sz w:val="20"/>
      <w:szCs w:val="20"/>
    </w:rPr>
  </w:style>
  <w:style w:type="paragraph" w:customStyle="1" w:styleId="40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05">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kern w:val="0"/>
      <w:szCs w:val="20"/>
    </w:rPr>
  </w:style>
  <w:style w:type="paragraph" w:customStyle="1" w:styleId="406">
    <w:name w:val="È±Ê¡ÎÄ±¾"/>
    <w:basedOn w:val="1"/>
    <w:qFormat/>
    <w:uiPriority w:val="0"/>
    <w:pPr>
      <w:widowControl/>
      <w:overflowPunct w:val="0"/>
      <w:autoSpaceDE w:val="0"/>
      <w:autoSpaceDN w:val="0"/>
      <w:adjustRightInd w:val="0"/>
      <w:spacing w:line="240" w:lineRule="auto"/>
    </w:pPr>
    <w:rPr>
      <w:rFonts w:ascii="Times New Roman" w:hAnsi="Times New Roman" w:cs="Times New Roman"/>
      <w:kern w:val="0"/>
      <w:szCs w:val="20"/>
    </w:rPr>
  </w:style>
  <w:style w:type="paragraph" w:customStyle="1" w:styleId="407">
    <w:name w:val="_Style 24"/>
    <w:basedOn w:val="1"/>
    <w:next w:val="153"/>
    <w:qFormat/>
    <w:uiPriority w:val="0"/>
    <w:pPr>
      <w:widowControl/>
      <w:spacing w:before="100" w:beforeAutospacing="1" w:after="100" w:afterAutospacing="1" w:line="240" w:lineRule="auto"/>
    </w:pPr>
    <w:rPr>
      <w:rFonts w:cs="Times New Roman"/>
      <w:kern w:val="0"/>
      <w:szCs w:val="20"/>
    </w:rPr>
  </w:style>
  <w:style w:type="paragraph" w:customStyle="1" w:styleId="408">
    <w:name w:val="部分1"/>
    <w:basedOn w:val="1"/>
    <w:qFormat/>
    <w:uiPriority w:val="0"/>
    <w:pPr>
      <w:keepNext/>
      <w:pageBreakBefore/>
      <w:ind w:left="1272" w:hanging="1272"/>
      <w:jc w:val="center"/>
      <w:outlineLvl w:val="0"/>
    </w:pPr>
    <w:rPr>
      <w:rFonts w:ascii="Times New Roman" w:hAnsi="Times New Roman" w:eastAsia="黑体" w:cs="Times New Roman"/>
      <w:b/>
      <w:kern w:val="44"/>
      <w:sz w:val="36"/>
      <w:szCs w:val="36"/>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b/>
      <w:color w:val="000000"/>
      <w:kern w:val="0"/>
      <w:szCs w:val="20"/>
    </w:rPr>
  </w:style>
  <w:style w:type="paragraph" w:customStyle="1" w:styleId="410">
    <w:name w:val="样式7"/>
    <w:basedOn w:val="1"/>
    <w:qFormat/>
    <w:uiPriority w:val="0"/>
    <w:pPr>
      <w:suppressAutoHyphens/>
      <w:autoSpaceDE w:val="0"/>
      <w:spacing w:line="440" w:lineRule="atLeast"/>
      <w:ind w:firstLine="601"/>
      <w:jc w:val="both"/>
      <w:textAlignment w:val="baseline"/>
    </w:pPr>
    <w:rPr>
      <w:rFonts w:cs="Times New Roman"/>
      <w:kern w:val="1"/>
      <w:szCs w:val="20"/>
      <w:lang w:eastAsia="ar-SA"/>
    </w:rPr>
  </w:style>
  <w:style w:type="paragraph" w:customStyle="1" w:styleId="411">
    <w:name w:val="Mao正文(五号)"/>
    <w:basedOn w:val="1"/>
    <w:qFormat/>
    <w:uiPriority w:val="0"/>
    <w:pPr>
      <w:spacing w:line="300" w:lineRule="auto"/>
      <w:ind w:firstLine="200" w:firstLineChars="200"/>
      <w:jc w:val="both"/>
    </w:pPr>
    <w:rPr>
      <w:rFonts w:ascii="Times New Roman" w:hAnsi="Times New Roman" w:cs="Times New Roman"/>
      <w:color w:val="000000"/>
      <w:kern w:val="0"/>
      <w:sz w:val="20"/>
      <w:szCs w:val="21"/>
    </w:rPr>
  </w:style>
  <w:style w:type="paragraph" w:customStyle="1" w:styleId="41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13">
    <w:name w:val="Char Char Char Char Char Char Char Char Char Char Char1 Char Char Char Char Char Char Char Char Char Char Char Char"/>
    <w:basedOn w:val="1"/>
    <w:qFormat/>
    <w:uiPriority w:val="0"/>
    <w:pPr>
      <w:spacing w:line="240" w:lineRule="auto"/>
      <w:jc w:val="both"/>
    </w:pPr>
    <w:rPr>
      <w:rFonts w:ascii="Tahoma" w:hAnsi="Tahoma" w:cs="Times New Roman"/>
      <w:kern w:val="0"/>
      <w:szCs w:val="20"/>
    </w:rPr>
  </w:style>
  <w:style w:type="paragraph" w:customStyle="1" w:styleId="414">
    <w:name w:val="font6"/>
    <w:basedOn w:val="1"/>
    <w:qFormat/>
    <w:uiPriority w:val="0"/>
    <w:pPr>
      <w:widowControl/>
      <w:spacing w:before="100" w:beforeAutospacing="1" w:after="100" w:afterAutospacing="1" w:line="240" w:lineRule="auto"/>
    </w:pPr>
    <w:rPr>
      <w:rFonts w:cs="宋体"/>
      <w:kern w:val="0"/>
      <w:sz w:val="18"/>
      <w:szCs w:val="18"/>
    </w:rPr>
  </w:style>
  <w:style w:type="paragraph" w:customStyle="1" w:styleId="41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16">
    <w:name w:val="Char1 Char Char Char Char Char Char"/>
    <w:basedOn w:val="1"/>
    <w:qFormat/>
    <w:uiPriority w:val="0"/>
    <w:pPr>
      <w:spacing w:line="240" w:lineRule="auto"/>
      <w:jc w:val="both"/>
    </w:pPr>
    <w:rPr>
      <w:rFonts w:ascii="Tahoma" w:hAnsi="Tahoma" w:cs="Times New Roman"/>
      <w:szCs w:val="20"/>
    </w:rPr>
  </w:style>
  <w:style w:type="paragraph" w:customStyle="1" w:styleId="417">
    <w:name w:val="(符号)三标题1."/>
    <w:basedOn w:val="1"/>
    <w:qFormat/>
    <w:uiPriority w:val="0"/>
    <w:pPr>
      <w:spacing w:before="140" w:after="140" w:line="500" w:lineRule="exact"/>
      <w:ind w:left="430" w:hanging="430"/>
      <w:jc w:val="both"/>
      <w:outlineLvl w:val="2"/>
    </w:pPr>
    <w:rPr>
      <w:rFonts w:ascii="楷体_GB2312" w:eastAsia="楷体_GB2312" w:cs="宋体"/>
      <w:b/>
      <w:kern w:val="0"/>
      <w:sz w:val="28"/>
      <w:szCs w:val="20"/>
    </w:rPr>
  </w:style>
  <w:style w:type="paragraph" w:customStyle="1" w:styleId="418">
    <w:name w:val="（符号）内容三标题1.1"/>
    <w:basedOn w:val="1"/>
    <w:qFormat/>
    <w:uiPriority w:val="0"/>
    <w:pPr>
      <w:spacing w:line="500" w:lineRule="exact"/>
      <w:jc w:val="both"/>
    </w:pPr>
    <w:rPr>
      <w:rFonts w:ascii="黑体" w:eastAsia="黑体" w:cs="Times New Roman"/>
      <w:b/>
      <w:kern w:val="0"/>
      <w:szCs w:val="20"/>
    </w:rPr>
  </w:style>
  <w:style w:type="paragraph" w:customStyle="1" w:styleId="419">
    <w:name w:val="标签"/>
    <w:basedOn w:val="1"/>
    <w:qFormat/>
    <w:uiPriority w:val="0"/>
    <w:pPr>
      <w:suppressLineNumbers/>
      <w:suppressAutoHyphens/>
      <w:spacing w:before="120" w:after="120" w:line="240" w:lineRule="auto"/>
      <w:jc w:val="both"/>
    </w:pPr>
    <w:rPr>
      <w:rFonts w:ascii="Times New Roman" w:hAnsi="Times New Roman" w:cs="Times New Roman"/>
      <w:i/>
      <w:iCs/>
      <w:kern w:val="1"/>
      <w:szCs w:val="20"/>
      <w:lang w:eastAsia="ar-SA"/>
    </w:rPr>
  </w:style>
  <w:style w:type="character" w:customStyle="1" w:styleId="420">
    <w:name w:val="z-窗体顶端 字符1"/>
    <w:qFormat/>
    <w:uiPriority w:val="0"/>
    <w:rPr>
      <w:rFonts w:ascii="Arial" w:hAnsi="Arial" w:eastAsia="宋体" w:cs="Arial"/>
      <w:vanish/>
      <w:kern w:val="0"/>
      <w:sz w:val="16"/>
      <w:szCs w:val="16"/>
    </w:rPr>
  </w:style>
  <w:style w:type="paragraph" w:customStyle="1" w:styleId="421">
    <w:name w:val="List Paragraph2"/>
    <w:basedOn w:val="1"/>
    <w:next w:val="61"/>
    <w:link w:val="441"/>
    <w:qFormat/>
    <w:uiPriority w:val="0"/>
    <w:pPr>
      <w:spacing w:line="240" w:lineRule="auto"/>
      <w:ind w:firstLine="420" w:firstLineChars="200"/>
      <w:jc w:val="both"/>
    </w:pPr>
    <w:rPr>
      <w:rFonts w:ascii="Times New Roman" w:hAnsi="Times New Roman" w:cs="Times New Roman"/>
      <w:kern w:val="0"/>
      <w:sz w:val="20"/>
      <w:szCs w:val="20"/>
    </w:rPr>
  </w:style>
  <w:style w:type="paragraph" w:customStyle="1" w:styleId="4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华文细黑" w:hAnsi="华文细黑" w:eastAsia="华文细黑" w:cs="宋体"/>
      <w:color w:val="000000"/>
      <w:kern w:val="0"/>
      <w:szCs w:val="20"/>
    </w:rPr>
  </w:style>
  <w:style w:type="paragraph" w:customStyle="1" w:styleId="423">
    <w:name w:val="样式章节"/>
    <w:basedOn w:val="3"/>
    <w:qFormat/>
    <w:uiPriority w:val="0"/>
    <w:pPr>
      <w:keepLines w:val="0"/>
      <w:autoSpaceDE w:val="0"/>
      <w:autoSpaceDN w:val="0"/>
      <w:adjustRightInd w:val="0"/>
      <w:spacing w:before="0" w:after="0" w:line="240" w:lineRule="auto"/>
      <w:ind w:left="432" w:hanging="432"/>
    </w:pPr>
    <w:rPr>
      <w:rFonts w:ascii="Times New Roman" w:hAnsi="Times New Roman" w:eastAsia="宋体" w:cs="Times New Roman"/>
      <w:b w:val="0"/>
      <w:bCs w:val="0"/>
      <w:kern w:val="2"/>
      <w:sz w:val="32"/>
      <w:szCs w:val="32"/>
      <w:lang w:val="zh-CN"/>
    </w:rPr>
  </w:style>
  <w:style w:type="paragraph" w:customStyle="1" w:styleId="424">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25">
    <w:name w:val="样式 标题 2 + (西文) Times New Roman (中文) 宋体 小四"/>
    <w:basedOn w:val="4"/>
    <w:qFormat/>
    <w:uiPriority w:val="0"/>
    <w:pPr>
      <w:spacing w:before="312" w:beforeLines="100" w:after="0" w:line="500" w:lineRule="exact"/>
      <w:jc w:val="both"/>
    </w:pPr>
    <w:rPr>
      <w:rFonts w:ascii="Times New Roman" w:hAnsi="Times New Roman" w:cs="Times New Roman"/>
      <w:b w:val="0"/>
      <w:bCs w:val="0"/>
      <w:sz w:val="24"/>
    </w:rPr>
  </w:style>
  <w:style w:type="paragraph" w:customStyle="1" w:styleId="426">
    <w:name w:val="zw1"/>
    <w:basedOn w:val="1"/>
    <w:qFormat/>
    <w:uiPriority w:val="0"/>
    <w:pPr>
      <w:widowControl/>
      <w:spacing w:before="100" w:beforeAutospacing="1" w:after="100" w:afterAutospacing="1" w:line="240" w:lineRule="auto"/>
    </w:pPr>
    <w:rPr>
      <w:rFonts w:cs="Times New Roman"/>
      <w:kern w:val="0"/>
      <w:szCs w:val="20"/>
    </w:rPr>
  </w:style>
  <w:style w:type="paragraph" w:customStyle="1" w:styleId="427">
    <w:name w:val="我的重点"/>
    <w:basedOn w:val="366"/>
    <w:qFormat/>
    <w:uiPriority w:val="0"/>
    <w:pPr>
      <w:ind w:left="0"/>
    </w:pPr>
    <w:rPr>
      <w:rFonts w:eastAsia="华文楷体"/>
      <w:i/>
      <w:iCs/>
    </w:rPr>
  </w:style>
  <w:style w:type="paragraph" w:customStyle="1" w:styleId="428">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b/>
      <w:color w:val="000000"/>
      <w:kern w:val="0"/>
      <w:szCs w:val="20"/>
    </w:rPr>
  </w:style>
  <w:style w:type="paragraph" w:customStyle="1" w:styleId="42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cs="宋体"/>
      <w:kern w:val="0"/>
      <w:szCs w:val="20"/>
    </w:rPr>
  </w:style>
  <w:style w:type="paragraph" w:customStyle="1" w:styleId="430">
    <w:name w:val="（符号）普通正文"/>
    <w:basedOn w:val="1"/>
    <w:qFormat/>
    <w:uiPriority w:val="0"/>
    <w:pPr>
      <w:spacing w:line="460" w:lineRule="exact"/>
      <w:ind w:firstLine="480" w:firstLineChars="200"/>
      <w:jc w:val="both"/>
    </w:pPr>
    <w:rPr>
      <w:rFonts w:cs="宋体"/>
      <w:kern w:val="0"/>
      <w:szCs w:val="20"/>
    </w:rPr>
  </w:style>
  <w:style w:type="paragraph" w:customStyle="1" w:styleId="431">
    <w:name w:val="列表－视讯"/>
    <w:basedOn w:val="19"/>
    <w:qFormat/>
    <w:uiPriority w:val="0"/>
  </w:style>
  <w:style w:type="paragraph" w:customStyle="1" w:styleId="432">
    <w:name w:val="（符号）内容二标题1"/>
    <w:basedOn w:val="1"/>
    <w:qFormat/>
    <w:uiPriority w:val="0"/>
    <w:pPr>
      <w:spacing w:before="140" w:after="140" w:line="500" w:lineRule="exact"/>
      <w:ind w:left="430" w:hanging="430"/>
      <w:jc w:val="both"/>
      <w:outlineLvl w:val="1"/>
    </w:pPr>
    <w:rPr>
      <w:rFonts w:ascii="楷体_GB2312" w:hAnsi="Times New Roman" w:eastAsia="楷体_GB2312" w:cs="宋体"/>
      <w:b/>
      <w:kern w:val="0"/>
      <w:sz w:val="28"/>
      <w:szCs w:val="20"/>
    </w:rPr>
  </w:style>
  <w:style w:type="paragraph" w:customStyle="1" w:styleId="433">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cs="宋体"/>
      <w:kern w:val="0"/>
      <w:szCs w:val="20"/>
    </w:rPr>
  </w:style>
  <w:style w:type="paragraph" w:customStyle="1" w:styleId="43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0"/>
    </w:rPr>
  </w:style>
  <w:style w:type="paragraph" w:customStyle="1" w:styleId="435">
    <w:name w:val="(符号)五标题1.1.1"/>
    <w:basedOn w:val="1"/>
    <w:qFormat/>
    <w:uiPriority w:val="0"/>
    <w:pPr>
      <w:numPr>
        <w:ilvl w:val="2"/>
        <w:numId w:val="4"/>
      </w:numPr>
      <w:spacing w:line="500" w:lineRule="exact"/>
      <w:jc w:val="both"/>
    </w:pPr>
    <w:rPr>
      <w:rFonts w:cs="宋体"/>
      <w:color w:val="000000"/>
      <w:kern w:val="0"/>
      <w:szCs w:val="20"/>
    </w:rPr>
  </w:style>
  <w:style w:type="paragraph" w:customStyle="1" w:styleId="436">
    <w:name w:val="Char Char Char Char Char Char Char Char Char Char"/>
    <w:basedOn w:val="1"/>
    <w:qFormat/>
    <w:uiPriority w:val="0"/>
    <w:pPr>
      <w:widowControl/>
      <w:spacing w:after="160" w:line="240" w:lineRule="exact"/>
    </w:pPr>
    <w:rPr>
      <w:rFonts w:ascii="Times New Roman" w:hAnsi="Times New Roman" w:cs="Times New Roman"/>
      <w:kern w:val="0"/>
      <w:sz w:val="20"/>
      <w:szCs w:val="20"/>
    </w:rPr>
  </w:style>
  <w:style w:type="paragraph" w:customStyle="1" w:styleId="437">
    <w:name w:val="_Style 36"/>
    <w:basedOn w:val="1"/>
    <w:qFormat/>
    <w:uiPriority w:val="0"/>
    <w:pPr>
      <w:widowControl/>
      <w:spacing w:after="160" w:line="240" w:lineRule="exact"/>
    </w:pPr>
    <w:rPr>
      <w:rFonts w:ascii="Times New Roman" w:hAnsi="Times New Roman" w:cs="Times New Roman"/>
      <w:kern w:val="0"/>
      <w:sz w:val="20"/>
      <w:szCs w:val="20"/>
    </w:rPr>
  </w:style>
  <w:style w:type="paragraph" w:customStyle="1" w:styleId="438">
    <w:name w:val="Char Char"/>
    <w:basedOn w:val="1"/>
    <w:qFormat/>
    <w:uiPriority w:val="0"/>
    <w:pPr>
      <w:spacing w:line="240" w:lineRule="auto"/>
      <w:jc w:val="both"/>
    </w:pPr>
    <w:rPr>
      <w:rFonts w:ascii="Tahoma" w:hAnsi="Tahoma" w:cs="Times New Roman"/>
      <w:kern w:val="0"/>
      <w:szCs w:val="20"/>
    </w:rPr>
  </w:style>
  <w:style w:type="paragraph" w:customStyle="1" w:styleId="439">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cs="宋体"/>
      <w:kern w:val="0"/>
      <w:szCs w:val="20"/>
    </w:rPr>
  </w:style>
  <w:style w:type="paragraph" w:customStyle="1" w:styleId="440">
    <w:name w:val="表"/>
    <w:basedOn w:val="1"/>
    <w:qFormat/>
    <w:uiPriority w:val="0"/>
    <w:pPr>
      <w:adjustRightInd w:val="0"/>
      <w:snapToGrid w:val="0"/>
      <w:spacing w:line="240" w:lineRule="auto"/>
      <w:jc w:val="both"/>
    </w:pPr>
    <w:rPr>
      <w:rFonts w:ascii="Times New Roman" w:hAnsi="Times New Roman" w:cs="Times New Roman"/>
      <w:color w:val="000000"/>
      <w:kern w:val="0"/>
      <w:sz w:val="20"/>
      <w:szCs w:val="21"/>
    </w:rPr>
  </w:style>
  <w:style w:type="character" w:customStyle="1" w:styleId="441">
    <w:name w:val="列表段落 字符1"/>
    <w:link w:val="421"/>
    <w:qFormat/>
    <w:uiPriority w:val="0"/>
  </w:style>
  <w:style w:type="paragraph" w:customStyle="1" w:styleId="442">
    <w:name w:val="Table Paragraph"/>
    <w:basedOn w:val="1"/>
    <w:qFormat/>
    <w:uiPriority w:val="0"/>
    <w:pPr>
      <w:widowControl/>
      <w:autoSpaceDE w:val="0"/>
      <w:autoSpaceDN w:val="0"/>
      <w:spacing w:line="240" w:lineRule="auto"/>
    </w:pPr>
    <w:rPr>
      <w:rFonts w:cs="宋体"/>
      <w:kern w:val="0"/>
      <w:sz w:val="22"/>
      <w:lang w:val="zh-CN" w:bidi="zh-CN"/>
    </w:rPr>
  </w:style>
  <w:style w:type="character" w:customStyle="1" w:styleId="443">
    <w:name w:val="Default Char Char"/>
    <w:link w:val="130"/>
    <w:qFormat/>
    <w:uiPriority w:val="0"/>
    <w:rPr>
      <w:rFonts w:ascii=".." w:eastAsia=".."/>
      <w:color w:val="000000"/>
      <w:sz w:val="24"/>
      <w:szCs w:val="24"/>
    </w:rPr>
  </w:style>
  <w:style w:type="character" w:customStyle="1" w:styleId="444">
    <w:name w:val="正文缩进[1] Char Char"/>
    <w:link w:val="445"/>
    <w:qFormat/>
    <w:uiPriority w:val="0"/>
  </w:style>
  <w:style w:type="paragraph" w:customStyle="1" w:styleId="445">
    <w:name w:val="正文缩进[1] Char"/>
    <w:basedOn w:val="1"/>
    <w:link w:val="444"/>
    <w:qFormat/>
    <w:uiPriority w:val="0"/>
    <w:pPr>
      <w:spacing w:beforeLines="20" w:afterLines="20" w:line="300" w:lineRule="auto"/>
      <w:ind w:firstLine="420"/>
      <w:jc w:val="both"/>
    </w:pPr>
    <w:rPr>
      <w:rFonts w:ascii="Times New Roman" w:hAnsi="Times New Roman" w:cs="Times New Roman"/>
      <w:kern w:val="0"/>
      <w:sz w:val="20"/>
      <w:szCs w:val="20"/>
    </w:rPr>
  </w:style>
  <w:style w:type="table" w:customStyle="1" w:styleId="446">
    <w:name w:val="TableGrid"/>
    <w:qFormat/>
    <w:uiPriority w:val="0"/>
    <w:rPr>
      <w:rFonts w:ascii="等线" w:hAnsi="等线" w:eastAsia="等线"/>
    </w:rPr>
    <w:tblPr>
      <w:tblCellMar>
        <w:top w:w="0" w:type="dxa"/>
        <w:left w:w="0" w:type="dxa"/>
        <w:bottom w:w="0" w:type="dxa"/>
        <w:right w:w="0" w:type="dxa"/>
      </w:tblCellMar>
    </w:tblPr>
  </w:style>
  <w:style w:type="table" w:customStyle="1" w:styleId="447">
    <w:name w:val="TableGrid1"/>
    <w:qFormat/>
    <w:uiPriority w:val="0"/>
    <w:rPr>
      <w:rFonts w:ascii="等线" w:hAnsi="等线" w:eastAsia="等线"/>
    </w:rPr>
    <w:tblPr>
      <w:tblCellMar>
        <w:top w:w="0" w:type="dxa"/>
        <w:left w:w="0" w:type="dxa"/>
        <w:bottom w:w="0" w:type="dxa"/>
        <w:right w:w="0" w:type="dxa"/>
      </w:tblCellMar>
    </w:tblPr>
  </w:style>
  <w:style w:type="character" w:customStyle="1" w:styleId="448">
    <w:name w:val="fontstyle01"/>
    <w:qFormat/>
    <w:uiPriority w:val="0"/>
    <w:rPr>
      <w:rFonts w:hint="default" w:ascii="Calibri" w:hAnsi="Calibri" w:cs="Calibri"/>
      <w:color w:val="000000"/>
      <w:sz w:val="22"/>
      <w:szCs w:val="22"/>
    </w:rPr>
  </w:style>
  <w:style w:type="character" w:customStyle="1" w:styleId="449">
    <w:name w:val="fontstyle21"/>
    <w:qFormat/>
    <w:uiPriority w:val="0"/>
    <w:rPr>
      <w:rFonts w:hint="eastAsia" w:ascii="宋体" w:hAnsi="宋体" w:eastAsia="宋体"/>
      <w:color w:val="000000"/>
      <w:sz w:val="22"/>
      <w:szCs w:val="22"/>
    </w:rPr>
  </w:style>
  <w:style w:type="table" w:customStyle="1" w:styleId="450">
    <w:name w:val="TableGrid2"/>
    <w:qFormat/>
    <w:uiPriority w:val="0"/>
    <w:rPr>
      <w:rFonts w:ascii="等线" w:hAnsi="等线" w:eastAsia="等线"/>
    </w:rPr>
    <w:tblPr>
      <w:tblCellMar>
        <w:top w:w="0" w:type="dxa"/>
        <w:left w:w="0" w:type="dxa"/>
        <w:bottom w:w="0" w:type="dxa"/>
        <w:right w:w="0" w:type="dxa"/>
      </w:tblCellMar>
    </w:tblPr>
  </w:style>
  <w:style w:type="table" w:customStyle="1" w:styleId="451">
    <w:name w:val="TableGrid3"/>
    <w:qFormat/>
    <w:uiPriority w:val="0"/>
    <w:rPr>
      <w:rFonts w:ascii="等线" w:hAnsi="等线" w:eastAsia="等线"/>
    </w:rPr>
    <w:tblPr>
      <w:tblCellMar>
        <w:top w:w="0" w:type="dxa"/>
        <w:left w:w="0" w:type="dxa"/>
        <w:bottom w:w="0" w:type="dxa"/>
        <w:right w:w="0" w:type="dxa"/>
      </w:tblCellMar>
    </w:tblPr>
  </w:style>
  <w:style w:type="character" w:customStyle="1" w:styleId="452">
    <w:name w:val="无间隔 字符"/>
    <w:link w:val="277"/>
    <w:qFormat/>
    <w:uiPriority w:val="0"/>
    <w:rPr>
      <w:kern w:val="2"/>
      <w:sz w:val="21"/>
    </w:rPr>
  </w:style>
  <w:style w:type="table" w:customStyle="1" w:styleId="453">
    <w:name w:val="网格型1"/>
    <w:basedOn w:val="81"/>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Grid4"/>
    <w:qFormat/>
    <w:uiPriority w:val="0"/>
    <w:rPr>
      <w:rFonts w:ascii="等线" w:hAnsi="等线" w:eastAsia="等线"/>
    </w:rPr>
    <w:tblPr>
      <w:tblCellMar>
        <w:top w:w="0" w:type="dxa"/>
        <w:left w:w="0" w:type="dxa"/>
        <w:bottom w:w="0" w:type="dxa"/>
        <w:right w:w="0" w:type="dxa"/>
      </w:tblCellMar>
    </w:tblPr>
  </w:style>
  <w:style w:type="table" w:customStyle="1" w:styleId="455">
    <w:name w:val="TableGrid5"/>
    <w:qFormat/>
    <w:uiPriority w:val="0"/>
    <w:rPr>
      <w:rFonts w:ascii="等线" w:hAnsi="等线" w:eastAsia="等线"/>
    </w:rPr>
    <w:tblPr>
      <w:tblCellMar>
        <w:top w:w="0" w:type="dxa"/>
        <w:left w:w="0" w:type="dxa"/>
        <w:bottom w:w="0" w:type="dxa"/>
        <w:right w:w="0" w:type="dxa"/>
      </w:tblCellMar>
    </w:tblPr>
  </w:style>
  <w:style w:type="paragraph" w:customStyle="1" w:styleId="456">
    <w:name w:val="ZB1 - Arrowed List"/>
    <w:basedOn w:val="1"/>
    <w:qFormat/>
    <w:locked/>
    <w:uiPriority w:val="0"/>
    <w:pPr>
      <w:widowControl/>
      <w:numPr>
        <w:ilvl w:val="0"/>
        <w:numId w:val="5"/>
      </w:numPr>
      <w:spacing w:before="60" w:after="60"/>
    </w:pPr>
    <w:rPr>
      <w:rFonts w:ascii="Arial" w:hAnsi="Arial" w:cs="Times New Roman"/>
      <w:kern w:val="0"/>
      <w:sz w:val="21"/>
      <w:szCs w:val="24"/>
    </w:rPr>
  </w:style>
  <w:style w:type="paragraph" w:customStyle="1" w:styleId="457">
    <w:name w:val="ZB1 - Components"/>
    <w:basedOn w:val="1"/>
    <w:qFormat/>
    <w:locked/>
    <w:uiPriority w:val="0"/>
    <w:pPr>
      <w:widowControl/>
      <w:numPr>
        <w:ilvl w:val="0"/>
        <w:numId w:val="6"/>
      </w:numPr>
    </w:pPr>
    <w:rPr>
      <w:rFonts w:ascii="Arial" w:hAnsi="Arial" w:cs="Times New Roman"/>
      <w:kern w:val="0"/>
      <w:position w:val="4"/>
      <w:sz w:val="21"/>
      <w:szCs w:val="24"/>
    </w:rPr>
  </w:style>
  <w:style w:type="paragraph" w:customStyle="1" w:styleId="458">
    <w:name w:val="ZB1 - Bulleted List"/>
    <w:basedOn w:val="457"/>
    <w:qFormat/>
    <w:locked/>
    <w:uiPriority w:val="0"/>
    <w:pPr>
      <w:numPr>
        <w:ilvl w:val="0"/>
        <w:numId w:val="7"/>
      </w:numPr>
      <w:spacing w:before="60" w:after="60"/>
    </w:pPr>
    <w:rPr>
      <w:position w:val="0"/>
    </w:rPr>
  </w:style>
  <w:style w:type="paragraph" w:customStyle="1" w:styleId="459">
    <w:name w:val="ZB1 - Heading 1"/>
    <w:next w:val="460"/>
    <w:qFormat/>
    <w:locked/>
    <w:uiPriority w:val="0"/>
    <w:pPr>
      <w:numPr>
        <w:ilvl w:val="0"/>
        <w:numId w:val="8"/>
      </w:numPr>
      <w:spacing w:before="72" w:beforeLines="30" w:after="72" w:afterLines="30" w:line="264" w:lineRule="auto"/>
      <w:outlineLvl w:val="0"/>
    </w:pPr>
    <w:rPr>
      <w:rFonts w:ascii="Arial" w:hAnsi="Arial" w:eastAsia="宋体" w:cs="Arial"/>
      <w:b/>
      <w:caps/>
      <w:kern w:val="32"/>
      <w:sz w:val="24"/>
      <w:szCs w:val="32"/>
      <w:lang w:val="en-US" w:eastAsia="zh-CN" w:bidi="ar-SA"/>
    </w:rPr>
  </w:style>
  <w:style w:type="paragraph" w:customStyle="1" w:styleId="460">
    <w:name w:val="ZB1 - Heading 1 Body Text"/>
    <w:basedOn w:val="1"/>
    <w:qFormat/>
    <w:locked/>
    <w:uiPriority w:val="0"/>
    <w:pPr>
      <w:widowControl/>
      <w:spacing w:after="30" w:afterLines="30"/>
      <w:ind w:firstLine="200" w:firstLineChars="200"/>
      <w:jc w:val="both"/>
    </w:pPr>
    <w:rPr>
      <w:rFonts w:ascii="Arial" w:hAnsi="Arial" w:cs="Times New Roman"/>
      <w:kern w:val="0"/>
      <w:sz w:val="21"/>
      <w:szCs w:val="24"/>
    </w:rPr>
  </w:style>
  <w:style w:type="paragraph" w:customStyle="1" w:styleId="461">
    <w:name w:val="ZB1 - Heading 2"/>
    <w:basedOn w:val="459"/>
    <w:next w:val="462"/>
    <w:qFormat/>
    <w:locked/>
    <w:uiPriority w:val="0"/>
    <w:pPr>
      <w:numPr>
        <w:numId w:val="0"/>
      </w:numPr>
      <w:outlineLvl w:val="1"/>
    </w:pPr>
    <w:rPr>
      <w:caps w:val="0"/>
    </w:rPr>
  </w:style>
  <w:style w:type="paragraph" w:customStyle="1" w:styleId="462">
    <w:name w:val="ZB1 - Heading 2 Body Text"/>
    <w:basedOn w:val="1"/>
    <w:qFormat/>
    <w:locked/>
    <w:uiPriority w:val="0"/>
    <w:pPr>
      <w:widowControl/>
      <w:spacing w:after="30" w:afterLines="30"/>
      <w:ind w:left="100" w:leftChars="100" w:firstLine="200" w:firstLineChars="200"/>
      <w:jc w:val="both"/>
    </w:pPr>
    <w:rPr>
      <w:rFonts w:ascii="Arial" w:hAnsi="Arial" w:cs="Times New Roman"/>
      <w:kern w:val="0"/>
      <w:sz w:val="21"/>
      <w:szCs w:val="24"/>
    </w:rPr>
  </w:style>
  <w:style w:type="paragraph" w:customStyle="1" w:styleId="463">
    <w:name w:val="ZB1 - Heading 3"/>
    <w:basedOn w:val="461"/>
    <w:next w:val="464"/>
    <w:qFormat/>
    <w:locked/>
    <w:uiPriority w:val="0"/>
    <w:pPr>
      <w:outlineLvl w:val="2"/>
    </w:pPr>
    <w:rPr>
      <w:b w:val="0"/>
    </w:rPr>
  </w:style>
  <w:style w:type="paragraph" w:customStyle="1" w:styleId="464">
    <w:name w:val="ZB1 - Heading 3 Body Text"/>
    <w:basedOn w:val="462"/>
    <w:link w:val="465"/>
    <w:qFormat/>
    <w:locked/>
    <w:uiPriority w:val="0"/>
  </w:style>
  <w:style w:type="character" w:customStyle="1" w:styleId="465">
    <w:name w:val="ZB1 - Heading 3 Body Text 字符"/>
    <w:link w:val="464"/>
    <w:qFormat/>
    <w:uiPriority w:val="0"/>
    <w:rPr>
      <w:rFonts w:ascii="Arial" w:hAnsi="Arial"/>
      <w:sz w:val="21"/>
      <w:szCs w:val="24"/>
    </w:rPr>
  </w:style>
  <w:style w:type="paragraph" w:customStyle="1" w:styleId="466">
    <w:name w:val="ZB1 - Heading 4"/>
    <w:basedOn w:val="463"/>
    <w:next w:val="1"/>
    <w:qFormat/>
    <w:locked/>
    <w:uiPriority w:val="0"/>
    <w:pPr>
      <w:numPr>
        <w:ilvl w:val="3"/>
        <w:numId w:val="8"/>
      </w:numPr>
      <w:outlineLvl w:val="3"/>
    </w:pPr>
  </w:style>
  <w:style w:type="paragraph" w:customStyle="1" w:styleId="467">
    <w:name w:val="ZB1 - Heading 5"/>
    <w:basedOn w:val="466"/>
    <w:next w:val="1"/>
    <w:qFormat/>
    <w:locked/>
    <w:uiPriority w:val="0"/>
    <w:pPr>
      <w:numPr>
        <w:numId w:val="0"/>
      </w:numPr>
      <w:outlineLvl w:val="4"/>
    </w:pPr>
  </w:style>
  <w:style w:type="paragraph" w:customStyle="1" w:styleId="468">
    <w:name w:val="ETSC- Arrowed list 2nd"/>
    <w:basedOn w:val="1"/>
    <w:link w:val="469"/>
    <w:qFormat/>
    <w:uiPriority w:val="0"/>
    <w:pPr>
      <w:adjustRightInd w:val="0"/>
      <w:snapToGrid w:val="0"/>
      <w:spacing w:line="276" w:lineRule="auto"/>
      <w:ind w:left="1276" w:hanging="312"/>
      <w:jc w:val="both"/>
    </w:pPr>
    <w:rPr>
      <w:rFonts w:ascii="Times New Roman" w:hAnsi="Times New Roman" w:cs="Times New Roman"/>
      <w:kern w:val="0"/>
      <w:szCs w:val="24"/>
      <w:lang w:val="zh-CN" w:bidi="en-US"/>
    </w:rPr>
  </w:style>
  <w:style w:type="character" w:customStyle="1" w:styleId="469">
    <w:name w:val="ETSC- Arrowed list 2nd Char"/>
    <w:link w:val="468"/>
    <w:qFormat/>
    <w:uiPriority w:val="0"/>
    <w:rPr>
      <w:sz w:val="24"/>
      <w:szCs w:val="24"/>
      <w:lang w:val="zh-CN" w:bidi="en-US"/>
    </w:rPr>
  </w:style>
  <w:style w:type="paragraph" w:customStyle="1" w:styleId="470">
    <w:name w:val="ETSC- Para title"/>
    <w:link w:val="471"/>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US" w:eastAsia="zh-CN" w:bidi="ar-SA"/>
    </w:rPr>
  </w:style>
  <w:style w:type="character" w:customStyle="1" w:styleId="471">
    <w:name w:val="ETSC- Para title Char"/>
    <w:link w:val="470"/>
    <w:qFormat/>
    <w:uiPriority w:val="0"/>
    <w:rPr>
      <w:b/>
      <w:kern w:val="2"/>
      <w:sz w:val="24"/>
      <w:szCs w:val="24"/>
      <w:u w:val="single"/>
    </w:rPr>
  </w:style>
  <w:style w:type="table" w:customStyle="1" w:styleId="472">
    <w:name w:val="TableGrid6"/>
    <w:qFormat/>
    <w:uiPriority w:val="0"/>
    <w:rPr>
      <w:rFonts w:ascii="等线" w:hAnsi="等线" w:eastAsia="等线"/>
    </w:rPr>
    <w:tblPr>
      <w:tblCellMar>
        <w:top w:w="0" w:type="dxa"/>
        <w:left w:w="0" w:type="dxa"/>
        <w:bottom w:w="0" w:type="dxa"/>
        <w:right w:w="0" w:type="dxa"/>
      </w:tblCellMar>
    </w:tblPr>
  </w:style>
  <w:style w:type="table" w:customStyle="1" w:styleId="473">
    <w:name w:val="TableGrid7"/>
    <w:qFormat/>
    <w:uiPriority w:val="0"/>
    <w:rPr>
      <w:rFonts w:ascii="等线" w:hAnsi="等线" w:eastAsia="等线"/>
    </w:rPr>
    <w:tblPr>
      <w:tblCellMar>
        <w:top w:w="0" w:type="dxa"/>
        <w:left w:w="0" w:type="dxa"/>
        <w:bottom w:w="0" w:type="dxa"/>
        <w:right w:w="0" w:type="dxa"/>
      </w:tblCellMar>
    </w:tblPr>
  </w:style>
  <w:style w:type="character" w:customStyle="1" w:styleId="474">
    <w:name w:val="列出段落 字符"/>
    <w:qFormat/>
    <w:uiPriority w:val="0"/>
  </w:style>
  <w:style w:type="character" w:customStyle="1" w:styleId="475">
    <w:name w:val="style41"/>
    <w:qFormat/>
    <w:uiPriority w:val="0"/>
    <w:rPr>
      <w:color w:val="666666"/>
      <w:sz w:val="18"/>
      <w:szCs w:val="18"/>
    </w:rPr>
  </w:style>
  <w:style w:type="character" w:customStyle="1" w:styleId="476">
    <w:name w:val="141"/>
    <w:qFormat/>
    <w:uiPriority w:val="0"/>
    <w:rPr>
      <w:sz w:val="28"/>
      <w:szCs w:val="28"/>
    </w:rPr>
  </w:style>
  <w:style w:type="character" w:customStyle="1" w:styleId="477">
    <w:name w:val="style741"/>
    <w:qFormat/>
    <w:uiPriority w:val="0"/>
    <w:rPr>
      <w:rFonts w:cs="Times New Roman"/>
      <w:color w:val="666666"/>
    </w:rPr>
  </w:style>
  <w:style w:type="character" w:customStyle="1" w:styleId="478">
    <w:name w:val="d1"/>
    <w:qFormat/>
    <w:uiPriority w:val="0"/>
    <w:rPr>
      <w:color w:val="000000"/>
      <w:sz w:val="21"/>
      <w:szCs w:val="21"/>
      <w:u w:val="none"/>
    </w:rPr>
  </w:style>
  <w:style w:type="paragraph" w:customStyle="1" w:styleId="479">
    <w:name w:val="Char Char6"/>
    <w:basedOn w:val="1"/>
    <w:qFormat/>
    <w:uiPriority w:val="0"/>
    <w:pPr>
      <w:widowControl/>
      <w:spacing w:after="160" w:line="240" w:lineRule="exact"/>
    </w:pPr>
    <w:rPr>
      <w:rFonts w:ascii="Times New Roman" w:hAnsi="Times New Roman" w:cs="Times New Roman"/>
      <w:sz w:val="21"/>
      <w:szCs w:val="24"/>
    </w:rPr>
  </w:style>
  <w:style w:type="paragraph" w:customStyle="1" w:styleId="480">
    <w:name w:val="Char Char Char Char Char Char Char Char Char Char Char Char Char Char Char Char"/>
    <w:basedOn w:val="1"/>
    <w:qFormat/>
    <w:uiPriority w:val="0"/>
    <w:pPr>
      <w:spacing w:line="240" w:lineRule="auto"/>
      <w:jc w:val="both"/>
    </w:pPr>
    <w:rPr>
      <w:rFonts w:ascii="Tahoma" w:hAnsi="Tahoma" w:cs="Times New Roman"/>
      <w:szCs w:val="20"/>
    </w:rPr>
  </w:style>
  <w:style w:type="paragraph" w:customStyle="1" w:styleId="481">
    <w:name w:val="indent_2em1"/>
    <w:basedOn w:val="1"/>
    <w:qFormat/>
    <w:uiPriority w:val="0"/>
    <w:pPr>
      <w:widowControl/>
      <w:spacing w:line="300" w:lineRule="atLeast"/>
      <w:ind w:firstLine="480"/>
    </w:pPr>
    <w:rPr>
      <w:rFonts w:cs="宋体"/>
      <w:spacing w:val="15"/>
      <w:kern w:val="0"/>
      <w:szCs w:val="24"/>
    </w:rPr>
  </w:style>
  <w:style w:type="paragraph" w:customStyle="1" w:styleId="482">
    <w:name w:val="Char Char Char Char Char Char Char Char Char"/>
    <w:basedOn w:val="1"/>
    <w:qFormat/>
    <w:uiPriority w:val="0"/>
    <w:pPr>
      <w:widowControl/>
      <w:spacing w:after="160" w:line="240" w:lineRule="exact"/>
    </w:pPr>
    <w:rPr>
      <w:rFonts w:ascii="Verdana" w:hAnsi="Verdana" w:eastAsia="仿宋_GB2312" w:cs="Verdana"/>
      <w:kern w:val="0"/>
      <w:szCs w:val="24"/>
      <w:lang w:eastAsia="en-US"/>
    </w:rPr>
  </w:style>
  <w:style w:type="paragraph" w:customStyle="1" w:styleId="483">
    <w:name w:val="indent_2em"/>
    <w:basedOn w:val="1"/>
    <w:qFormat/>
    <w:uiPriority w:val="0"/>
    <w:pPr>
      <w:widowControl/>
      <w:spacing w:before="100" w:beforeAutospacing="1" w:after="100" w:afterAutospacing="1" w:line="240" w:lineRule="auto"/>
    </w:pPr>
    <w:rPr>
      <w:rFonts w:cs="宋体"/>
      <w:kern w:val="0"/>
      <w:szCs w:val="24"/>
    </w:rPr>
  </w:style>
  <w:style w:type="paragraph" w:customStyle="1" w:styleId="484">
    <w:name w:val="Char Char1 Char Char Char Char Char Char"/>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485">
    <w:name w:val="_Style 32"/>
    <w:basedOn w:val="1"/>
    <w:next w:val="70"/>
    <w:qFormat/>
    <w:uiPriority w:val="0"/>
    <w:pPr>
      <w:spacing w:after="120" w:line="480" w:lineRule="auto"/>
      <w:jc w:val="both"/>
    </w:pPr>
    <w:rPr>
      <w:rFonts w:ascii="Times New Roman" w:hAnsi="Times New Roman" w:cs="Times New Roman"/>
      <w:sz w:val="21"/>
      <w:szCs w:val="20"/>
    </w:rPr>
  </w:style>
  <w:style w:type="paragraph" w:customStyle="1" w:styleId="486">
    <w:name w:val="表内文字"/>
    <w:basedOn w:val="1"/>
    <w:qFormat/>
    <w:uiPriority w:val="0"/>
    <w:pPr>
      <w:jc w:val="center"/>
    </w:pPr>
    <w:rPr>
      <w:rFonts w:ascii="仿宋_GB2312" w:hAnsi="Times New Roman" w:eastAsia="仿宋_GB2312" w:cs="仿宋_GB2312"/>
      <w:spacing w:val="-20"/>
      <w:kern w:val="0"/>
      <w:szCs w:val="24"/>
    </w:rPr>
  </w:style>
  <w:style w:type="paragraph" w:customStyle="1" w:styleId="487">
    <w:name w:val="Char Char Char Char Char Char"/>
    <w:basedOn w:val="1"/>
    <w:qFormat/>
    <w:uiPriority w:val="0"/>
    <w:pPr>
      <w:spacing w:line="240" w:lineRule="auto"/>
      <w:jc w:val="both"/>
    </w:pPr>
    <w:rPr>
      <w:rFonts w:ascii="Times New Roman" w:hAnsi="Times New Roman" w:cs="Times New Roman"/>
      <w:sz w:val="21"/>
      <w:szCs w:val="24"/>
    </w:rPr>
  </w:style>
  <w:style w:type="paragraph" w:customStyle="1" w:styleId="488">
    <w:name w:val="style75"/>
    <w:basedOn w:val="1"/>
    <w:qFormat/>
    <w:uiPriority w:val="0"/>
    <w:pPr>
      <w:widowControl/>
      <w:spacing w:before="100" w:beforeAutospacing="1" w:after="100" w:afterAutospacing="1" w:line="240" w:lineRule="auto"/>
    </w:pPr>
    <w:rPr>
      <w:rFonts w:cs="宋体"/>
      <w:color w:val="666666"/>
      <w:kern w:val="0"/>
      <w:sz w:val="15"/>
      <w:szCs w:val="15"/>
    </w:rPr>
  </w:style>
  <w:style w:type="paragraph" w:customStyle="1" w:styleId="489">
    <w:name w:val="编写建议 Char"/>
    <w:basedOn w:val="1"/>
    <w:link w:val="490"/>
    <w:qFormat/>
    <w:uiPriority w:val="0"/>
    <w:pPr>
      <w:autoSpaceDE w:val="0"/>
      <w:autoSpaceDN w:val="0"/>
      <w:adjustRightInd w:val="0"/>
      <w:ind w:firstLine="420" w:firstLineChars="200"/>
    </w:pPr>
    <w:rPr>
      <w:rFonts w:ascii="Arial" w:hAnsi="Arial" w:cs="Times New Roman"/>
      <w:i/>
      <w:color w:val="0000FF"/>
      <w:kern w:val="0"/>
      <w:sz w:val="20"/>
      <w:szCs w:val="21"/>
    </w:rPr>
  </w:style>
  <w:style w:type="character" w:customStyle="1" w:styleId="490">
    <w:name w:val="编写建议 Char Char"/>
    <w:link w:val="489"/>
    <w:qFormat/>
    <w:uiPriority w:val="0"/>
    <w:rPr>
      <w:rFonts w:ascii="Arial" w:hAnsi="Arial"/>
      <w:i/>
      <w:color w:val="0000FF"/>
      <w:szCs w:val="21"/>
    </w:rPr>
  </w:style>
  <w:style w:type="character" w:customStyle="1" w:styleId="491">
    <w:name w:val="small18"/>
    <w:qFormat/>
    <w:uiPriority w:val="0"/>
  </w:style>
  <w:style w:type="character" w:customStyle="1" w:styleId="492">
    <w:name w:val="题注 字符"/>
    <w:link w:val="20"/>
    <w:qFormat/>
    <w:locked/>
    <w:uiPriority w:val="0"/>
    <w:rPr>
      <w:sz w:val="18"/>
      <w:szCs w:val="18"/>
    </w:rPr>
  </w:style>
  <w:style w:type="paragraph" w:customStyle="1" w:styleId="493">
    <w:name w:val="列出段落11"/>
    <w:basedOn w:val="1"/>
    <w:qFormat/>
    <w:uiPriority w:val="0"/>
    <w:pPr>
      <w:spacing w:line="240" w:lineRule="auto"/>
      <w:ind w:firstLine="420" w:firstLineChars="200"/>
      <w:jc w:val="both"/>
    </w:pPr>
    <w:rPr>
      <w:rFonts w:ascii="Calibri" w:hAnsi="Calibri"/>
      <w:sz w:val="21"/>
    </w:rPr>
  </w:style>
  <w:style w:type="character" w:customStyle="1" w:styleId="494">
    <w:name w:val="普通文字 Char Char1"/>
    <w:qFormat/>
    <w:locked/>
    <w:uiPriority w:val="0"/>
    <w:rPr>
      <w:rFonts w:ascii="宋体" w:hAnsi="Courier New" w:eastAsia="宋体"/>
      <w:kern w:val="10"/>
      <w:sz w:val="21"/>
      <w:szCs w:val="21"/>
      <w:lang w:val="en-US" w:eastAsia="zh-CN" w:bidi="ar-SA"/>
    </w:rPr>
  </w:style>
  <w:style w:type="paragraph" w:customStyle="1" w:styleId="495">
    <w:name w:val="普通 (Web)"/>
    <w:basedOn w:val="1"/>
    <w:qFormat/>
    <w:uiPriority w:val="0"/>
    <w:pPr>
      <w:widowControl/>
      <w:spacing w:before="100" w:after="100" w:line="240" w:lineRule="auto"/>
    </w:pPr>
    <w:rPr>
      <w:rFonts w:cs="Times New Roman"/>
      <w:kern w:val="0"/>
      <w:szCs w:val="20"/>
    </w:rPr>
  </w:style>
  <w:style w:type="paragraph" w:customStyle="1" w:styleId="496">
    <w:name w:val="Default Paragraph Font Para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497">
    <w:name w:val="style40"/>
    <w:basedOn w:val="1"/>
    <w:qFormat/>
    <w:uiPriority w:val="0"/>
    <w:pPr>
      <w:widowControl/>
      <w:spacing w:before="100" w:beforeAutospacing="1" w:after="100" w:afterAutospacing="1" w:line="240" w:lineRule="auto"/>
    </w:pPr>
    <w:rPr>
      <w:rFonts w:cs="宋体"/>
      <w:kern w:val="0"/>
      <w:sz w:val="18"/>
      <w:szCs w:val="18"/>
    </w:rPr>
  </w:style>
  <w:style w:type="paragraph" w:customStyle="1" w:styleId="498">
    <w:name w:val="样式 样式 样式 左侧:  2 字符1 + 首行缩进:  2 字符1 + 首行缩进:  2 字符"/>
    <w:basedOn w:val="1"/>
    <w:qFormat/>
    <w:uiPriority w:val="0"/>
    <w:pPr>
      <w:widowControl/>
      <w:adjustRightInd w:val="0"/>
      <w:spacing w:before="60" w:after="120" w:line="440" w:lineRule="atLeast"/>
      <w:ind w:firstLine="480"/>
      <w:jc w:val="both"/>
      <w:textAlignment w:val="baseline"/>
    </w:pPr>
    <w:rPr>
      <w:rFonts w:ascii="Times New Roman" w:hAnsi="Times New Roman" w:cs="Times New Roman"/>
      <w:szCs w:val="20"/>
    </w:rPr>
  </w:style>
  <w:style w:type="paragraph" w:customStyle="1" w:styleId="499">
    <w:name w:val="Pa6"/>
    <w:basedOn w:val="1"/>
    <w:next w:val="1"/>
    <w:qFormat/>
    <w:uiPriority w:val="0"/>
    <w:pPr>
      <w:autoSpaceDE w:val="0"/>
      <w:autoSpaceDN w:val="0"/>
      <w:adjustRightInd w:val="0"/>
      <w:spacing w:line="181" w:lineRule="atLeast"/>
    </w:pPr>
    <w:rPr>
      <w:rFonts w:ascii="Futura Bk" w:hAnsi="Futura Bk" w:cs="Times New Roman"/>
      <w:kern w:val="0"/>
      <w:szCs w:val="24"/>
    </w:rPr>
  </w:style>
  <w:style w:type="character" w:customStyle="1" w:styleId="500">
    <w:name w:val="title01"/>
    <w:basedOn w:val="83"/>
    <w:qFormat/>
    <w:uiPriority w:val="0"/>
  </w:style>
  <w:style w:type="paragraph" w:customStyle="1" w:styleId="501">
    <w:name w:val="CM30"/>
    <w:basedOn w:val="1"/>
    <w:next w:val="1"/>
    <w:qFormat/>
    <w:uiPriority w:val="0"/>
    <w:pPr>
      <w:autoSpaceDE w:val="0"/>
      <w:autoSpaceDN w:val="0"/>
      <w:adjustRightInd w:val="0"/>
      <w:spacing w:after="200" w:line="240" w:lineRule="auto"/>
    </w:pPr>
    <w:rPr>
      <w:rFonts w:hAnsi="Times New Roman" w:cs="Times New Roman"/>
      <w:kern w:val="0"/>
      <w:szCs w:val="24"/>
    </w:rPr>
  </w:style>
  <w:style w:type="paragraph" w:customStyle="1" w:styleId="502">
    <w:name w:val="Char Char Char Char Char Char Char Char Char Char Char Char Char Char Char Char1"/>
    <w:basedOn w:val="1"/>
    <w:qFormat/>
    <w:uiPriority w:val="0"/>
    <w:pPr>
      <w:spacing w:line="500" w:lineRule="exact"/>
      <w:jc w:val="both"/>
    </w:pPr>
    <w:rPr>
      <w:rFonts w:ascii="Times New Roman" w:hAnsi="Times New Roman" w:cs="Times New Roman"/>
      <w:szCs w:val="24"/>
    </w:rPr>
  </w:style>
  <w:style w:type="paragraph" w:customStyle="1" w:styleId="503">
    <w:name w:val="CM27"/>
    <w:basedOn w:val="130"/>
    <w:next w:val="130"/>
    <w:qFormat/>
    <w:uiPriority w:val="0"/>
    <w:pPr>
      <w:spacing w:after="513"/>
    </w:pPr>
    <w:rPr>
      <w:rFonts w:ascii="宋体" w:eastAsia="宋体"/>
      <w:color w:val="auto"/>
    </w:rPr>
  </w:style>
  <w:style w:type="paragraph" w:customStyle="1" w:styleId="504">
    <w:name w:val="CM5"/>
    <w:basedOn w:val="130"/>
    <w:next w:val="130"/>
    <w:qFormat/>
    <w:uiPriority w:val="0"/>
    <w:pPr>
      <w:spacing w:line="491" w:lineRule="atLeast"/>
    </w:pPr>
    <w:rPr>
      <w:rFonts w:ascii="宋体" w:eastAsia="宋体"/>
      <w:color w:val="auto"/>
    </w:rPr>
  </w:style>
  <w:style w:type="paragraph" w:customStyle="1" w:styleId="505">
    <w:name w:val="CM7"/>
    <w:basedOn w:val="130"/>
    <w:next w:val="130"/>
    <w:qFormat/>
    <w:uiPriority w:val="0"/>
    <w:pPr>
      <w:spacing w:line="491" w:lineRule="atLeast"/>
    </w:pPr>
    <w:rPr>
      <w:rFonts w:ascii="宋体" w:eastAsia="宋体"/>
      <w:color w:val="auto"/>
    </w:rPr>
  </w:style>
  <w:style w:type="paragraph" w:customStyle="1" w:styleId="506">
    <w:name w:val="CM4"/>
    <w:basedOn w:val="130"/>
    <w:next w:val="130"/>
    <w:qFormat/>
    <w:uiPriority w:val="0"/>
    <w:pPr>
      <w:spacing w:line="491" w:lineRule="atLeast"/>
    </w:pPr>
    <w:rPr>
      <w:rFonts w:ascii="宋体" w:eastAsia="宋体"/>
      <w:color w:val="auto"/>
    </w:rPr>
  </w:style>
  <w:style w:type="paragraph" w:customStyle="1" w:styleId="507">
    <w:name w:val="CM8"/>
    <w:basedOn w:val="130"/>
    <w:next w:val="130"/>
    <w:qFormat/>
    <w:uiPriority w:val="0"/>
    <w:pPr>
      <w:spacing w:line="491" w:lineRule="atLeast"/>
    </w:pPr>
    <w:rPr>
      <w:rFonts w:ascii="宋体" w:eastAsia="宋体"/>
      <w:color w:val="auto"/>
    </w:rPr>
  </w:style>
  <w:style w:type="paragraph" w:customStyle="1" w:styleId="508">
    <w:name w:val="CM6"/>
    <w:basedOn w:val="130"/>
    <w:next w:val="130"/>
    <w:qFormat/>
    <w:uiPriority w:val="0"/>
    <w:pPr>
      <w:spacing w:line="491" w:lineRule="atLeast"/>
    </w:pPr>
    <w:rPr>
      <w:rFonts w:ascii="宋体" w:eastAsia="宋体"/>
      <w:color w:val="auto"/>
    </w:rPr>
  </w:style>
  <w:style w:type="paragraph" w:customStyle="1" w:styleId="509">
    <w:name w:val="CM13"/>
    <w:basedOn w:val="130"/>
    <w:next w:val="130"/>
    <w:qFormat/>
    <w:uiPriority w:val="0"/>
    <w:pPr>
      <w:spacing w:line="491" w:lineRule="atLeast"/>
    </w:pPr>
    <w:rPr>
      <w:rFonts w:ascii="宋体" w:eastAsia="宋体"/>
      <w:color w:val="auto"/>
    </w:rPr>
  </w:style>
  <w:style w:type="paragraph" w:customStyle="1" w:styleId="510">
    <w:name w:val="样式 首行缩进:  2 字符 段前: 0.5 行 段后: 0.5 行"/>
    <w:basedOn w:val="1"/>
    <w:next w:val="1"/>
    <w:qFormat/>
    <w:uiPriority w:val="0"/>
    <w:pPr>
      <w:adjustRightInd w:val="0"/>
      <w:snapToGrid w:val="0"/>
      <w:spacing w:before="156" w:after="156" w:line="312" w:lineRule="auto"/>
      <w:ind w:firstLine="480" w:firstLineChars="200"/>
      <w:jc w:val="both"/>
    </w:pPr>
    <w:rPr>
      <w:rFonts w:ascii="Times New Roman" w:hAnsi="Times New Roman" w:eastAsia="楷体_GB2312" w:cs="Times New Roman"/>
      <w:szCs w:val="20"/>
    </w:rPr>
  </w:style>
  <w:style w:type="paragraph" w:customStyle="1" w:styleId="511">
    <w:name w:val="Char Char Char Char Char Char1 Char"/>
    <w:basedOn w:val="1"/>
    <w:qFormat/>
    <w:uiPriority w:val="0"/>
    <w:pPr>
      <w:spacing w:line="240" w:lineRule="auto"/>
      <w:jc w:val="both"/>
    </w:pPr>
    <w:rPr>
      <w:rFonts w:ascii="Times New Roman" w:hAnsi="Times New Roman" w:cs="Times New Roman"/>
      <w:sz w:val="21"/>
      <w:szCs w:val="24"/>
    </w:rPr>
  </w:style>
  <w:style w:type="paragraph" w:customStyle="1" w:styleId="512">
    <w:name w:val="Char2"/>
    <w:basedOn w:val="1"/>
    <w:qFormat/>
    <w:uiPriority w:val="0"/>
    <w:pPr>
      <w:spacing w:line="240" w:lineRule="auto"/>
      <w:jc w:val="both"/>
    </w:pPr>
    <w:rPr>
      <w:rFonts w:ascii="Times New Roman" w:hAnsi="Times New Roman" w:cs="Times New Roman"/>
      <w:sz w:val="21"/>
      <w:szCs w:val="24"/>
    </w:rPr>
  </w:style>
  <w:style w:type="paragraph" w:customStyle="1" w:styleId="5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FF0000"/>
      <w:kern w:val="0"/>
      <w:szCs w:val="24"/>
    </w:rPr>
  </w:style>
  <w:style w:type="paragraph" w:customStyle="1" w:styleId="5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b/>
      <w:color w:val="FF0000"/>
      <w:kern w:val="0"/>
      <w:szCs w:val="24"/>
    </w:rPr>
  </w:style>
  <w:style w:type="paragraph" w:customStyle="1" w:styleId="51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color w:val="0070C0"/>
      <w:kern w:val="0"/>
      <w:szCs w:val="24"/>
    </w:rPr>
  </w:style>
  <w:style w:type="paragraph" w:customStyle="1" w:styleId="518">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19">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color w:val="FF0000"/>
      <w:kern w:val="0"/>
      <w:szCs w:val="24"/>
    </w:rPr>
  </w:style>
  <w:style w:type="paragraph" w:customStyle="1" w:styleId="5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color w:val="0070C0"/>
      <w:kern w:val="0"/>
      <w:szCs w:val="24"/>
    </w:rPr>
  </w:style>
  <w:style w:type="paragraph" w:customStyle="1" w:styleId="521">
    <w:name w:val="xl73"/>
    <w:basedOn w:val="1"/>
    <w:qFormat/>
    <w:uiPriority w:val="0"/>
    <w:pPr>
      <w:widowControl/>
      <w:spacing w:before="100" w:beforeAutospacing="1" w:after="100" w:afterAutospacing="1" w:line="240" w:lineRule="auto"/>
    </w:pPr>
    <w:rPr>
      <w:rFonts w:cs="宋体"/>
      <w:kern w:val="0"/>
      <w:szCs w:val="24"/>
    </w:rPr>
  </w:style>
  <w:style w:type="paragraph" w:customStyle="1" w:styleId="522">
    <w:name w:val="xl74"/>
    <w:basedOn w:val="1"/>
    <w:qFormat/>
    <w:uiPriority w:val="0"/>
    <w:pPr>
      <w:widowControl/>
      <w:spacing w:before="100" w:beforeAutospacing="1" w:after="100" w:afterAutospacing="1" w:line="240" w:lineRule="auto"/>
    </w:pPr>
    <w:rPr>
      <w:rFonts w:cs="宋体"/>
      <w:kern w:val="0"/>
      <w:szCs w:val="24"/>
    </w:rPr>
  </w:style>
  <w:style w:type="paragraph" w:customStyle="1" w:styleId="523">
    <w:name w:val="xl75"/>
    <w:basedOn w:val="1"/>
    <w:qFormat/>
    <w:uiPriority w:val="0"/>
    <w:pPr>
      <w:widowControl/>
      <w:spacing w:before="100" w:beforeAutospacing="1" w:after="100" w:afterAutospacing="1" w:line="240" w:lineRule="auto"/>
      <w:jc w:val="center"/>
    </w:pPr>
    <w:rPr>
      <w:rFonts w:cs="宋体"/>
      <w:kern w:val="0"/>
      <w:szCs w:val="24"/>
    </w:rPr>
  </w:style>
  <w:style w:type="paragraph" w:customStyle="1" w:styleId="5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Cs w:val="24"/>
    </w:rPr>
  </w:style>
  <w:style w:type="paragraph" w:customStyle="1" w:styleId="525">
    <w:name w:val="xl77"/>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cs="宋体"/>
      <w:b/>
      <w:color w:val="FF0000"/>
      <w:kern w:val="0"/>
      <w:szCs w:val="24"/>
    </w:rPr>
  </w:style>
  <w:style w:type="paragraph" w:customStyle="1" w:styleId="526">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2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2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2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30">
    <w:name w:val="xl82"/>
    <w:basedOn w:val="1"/>
    <w:qFormat/>
    <w:uiPriority w:val="0"/>
    <w:pPr>
      <w:widowControl/>
      <w:pBdr>
        <w:top w:val="single" w:color="auto" w:sz="4" w:space="0"/>
        <w:bottom w:val="single" w:color="auto" w:sz="4" w:space="0"/>
      </w:pBdr>
      <w:spacing w:before="100" w:beforeAutospacing="1" w:after="100" w:afterAutospacing="1" w:line="240" w:lineRule="auto"/>
      <w:jc w:val="center"/>
    </w:pPr>
    <w:rPr>
      <w:rFonts w:cs="宋体"/>
      <w:b/>
      <w:color w:val="FF0000"/>
      <w:kern w:val="0"/>
      <w:sz w:val="18"/>
      <w:szCs w:val="18"/>
    </w:rPr>
  </w:style>
  <w:style w:type="paragraph" w:customStyle="1" w:styleId="531">
    <w:name w:val="xl8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cs="宋体"/>
      <w:kern w:val="0"/>
      <w:sz w:val="18"/>
      <w:szCs w:val="18"/>
    </w:rPr>
  </w:style>
  <w:style w:type="paragraph" w:customStyle="1" w:styleId="532">
    <w:name w:val="_Style 28"/>
    <w:basedOn w:val="1"/>
    <w:qFormat/>
    <w:uiPriority w:val="0"/>
    <w:pPr>
      <w:spacing w:line="240" w:lineRule="auto"/>
      <w:jc w:val="both"/>
    </w:pPr>
    <w:rPr>
      <w:rFonts w:ascii="Tahoma" w:hAnsi="Tahoma" w:cs="Times New Roman"/>
      <w:szCs w:val="24"/>
    </w:rPr>
  </w:style>
  <w:style w:type="character" w:customStyle="1" w:styleId="533">
    <w:name w:val="标准文本 Char"/>
    <w:link w:val="534"/>
    <w:qFormat/>
    <w:locked/>
    <w:uiPriority w:val="0"/>
  </w:style>
  <w:style w:type="paragraph" w:customStyle="1" w:styleId="534">
    <w:name w:val="标准文本"/>
    <w:basedOn w:val="1"/>
    <w:link w:val="533"/>
    <w:qFormat/>
    <w:uiPriority w:val="0"/>
    <w:pPr>
      <w:ind w:firstLine="480" w:firstLineChars="200"/>
      <w:jc w:val="both"/>
    </w:pPr>
    <w:rPr>
      <w:rFonts w:ascii="Times New Roman" w:hAnsi="Times New Roman" w:cs="Times New Roman"/>
      <w:kern w:val="0"/>
      <w:sz w:val="20"/>
      <w:szCs w:val="20"/>
    </w:rPr>
  </w:style>
  <w:style w:type="paragraph" w:customStyle="1" w:styleId="535">
    <w:name w:val="[Normal]"/>
    <w:qFormat/>
    <w:uiPriority w:val="0"/>
    <w:rPr>
      <w:rFonts w:ascii="宋体" w:hAnsi="宋体" w:eastAsia="宋体" w:cs="Times New Roman"/>
      <w:sz w:val="24"/>
      <w:szCs w:val="24"/>
      <w:lang w:val="en-US" w:eastAsia="zh-CN" w:bidi="ar-SA"/>
    </w:rPr>
  </w:style>
  <w:style w:type="paragraph" w:customStyle="1" w:styleId="536">
    <w:name w:val="报告正文"/>
    <w:basedOn w:val="1"/>
    <w:qFormat/>
    <w:uiPriority w:val="0"/>
    <w:pPr>
      <w:adjustRightInd w:val="0"/>
      <w:snapToGrid w:val="0"/>
      <w:spacing w:line="288" w:lineRule="auto"/>
      <w:ind w:left="3060" w:leftChars="1700"/>
      <w:jc w:val="both"/>
    </w:pPr>
    <w:rPr>
      <w:rFonts w:ascii="华文细黑" w:hAnsi="华文细黑" w:eastAsia="华文细黑" w:cs="宋体"/>
      <w:sz w:val="21"/>
      <w:szCs w:val="20"/>
    </w:rPr>
  </w:style>
  <w:style w:type="paragraph" w:customStyle="1" w:styleId="537">
    <w:name w:val="_Style 1"/>
    <w:basedOn w:val="1"/>
    <w:qFormat/>
    <w:uiPriority w:val="0"/>
    <w:pPr>
      <w:spacing w:line="240" w:lineRule="auto"/>
      <w:ind w:firstLine="420" w:firstLineChars="200"/>
      <w:jc w:val="both"/>
    </w:pPr>
    <w:rPr>
      <w:rFonts w:ascii="Times New Roman" w:hAnsi="Times New Roman" w:cs="Times New Roman"/>
      <w:sz w:val="21"/>
      <w:szCs w:val="24"/>
    </w:rPr>
  </w:style>
  <w:style w:type="paragraph" w:customStyle="1" w:styleId="538">
    <w:name w:val="Char Char Char1 Char"/>
    <w:basedOn w:val="157"/>
    <w:qFormat/>
    <w:uiPriority w:val="0"/>
    <w:rPr>
      <w:rFonts w:ascii="Tahoma" w:hAnsi="Tahoma" w:eastAsia="宋体" w:cs="Tahoma"/>
      <w:kern w:val="0"/>
      <w:sz w:val="18"/>
    </w:rPr>
  </w:style>
  <w:style w:type="paragraph" w:customStyle="1" w:styleId="539">
    <w:name w:val="txt14"/>
    <w:basedOn w:val="1"/>
    <w:qFormat/>
    <w:uiPriority w:val="0"/>
    <w:pPr>
      <w:widowControl/>
      <w:spacing w:before="100" w:beforeAutospacing="1" w:after="100" w:afterAutospacing="1" w:line="240" w:lineRule="auto"/>
    </w:pPr>
    <w:rPr>
      <w:rFonts w:cs="宋体"/>
      <w:color w:val="000000"/>
      <w:kern w:val="0"/>
      <w:sz w:val="21"/>
      <w:szCs w:val="21"/>
    </w:rPr>
  </w:style>
  <w:style w:type="character" w:customStyle="1" w:styleId="540">
    <w:name w:val="标题 1 字符1"/>
    <w:qFormat/>
    <w:uiPriority w:val="0"/>
    <w:rPr>
      <w:b/>
      <w:kern w:val="44"/>
      <w:sz w:val="32"/>
      <w:szCs w:val="44"/>
    </w:rPr>
  </w:style>
  <w:style w:type="character" w:customStyle="1" w:styleId="541">
    <w:name w:val="标题 2 字符1"/>
    <w:qFormat/>
    <w:uiPriority w:val="0"/>
    <w:rPr>
      <w:rFonts w:ascii="Arial" w:hAnsi="Arial" w:eastAsia="黑体"/>
      <w:kern w:val="2"/>
      <w:sz w:val="32"/>
      <w:szCs w:val="32"/>
    </w:rPr>
  </w:style>
  <w:style w:type="character" w:customStyle="1" w:styleId="542">
    <w:name w:val="标题 3 字符1"/>
    <w:qFormat/>
    <w:uiPriority w:val="0"/>
    <w:rPr>
      <w:rFonts w:ascii="宋体"/>
      <w:b/>
      <w:kern w:val="2"/>
      <w:sz w:val="24"/>
      <w:szCs w:val="32"/>
    </w:rPr>
  </w:style>
  <w:style w:type="character" w:customStyle="1" w:styleId="543">
    <w:name w:val="标题 4 字符1"/>
    <w:qFormat/>
    <w:uiPriority w:val="0"/>
    <w:rPr>
      <w:rFonts w:ascii="Arial" w:hAnsi="Arial"/>
      <w:kern w:val="2"/>
      <w:sz w:val="24"/>
      <w:szCs w:val="28"/>
    </w:rPr>
  </w:style>
  <w:style w:type="character" w:customStyle="1" w:styleId="544">
    <w:name w:val="标题 7 字符1"/>
    <w:qFormat/>
    <w:uiPriority w:val="0"/>
    <w:rPr>
      <w:b/>
      <w:kern w:val="2"/>
      <w:sz w:val="24"/>
      <w:szCs w:val="24"/>
    </w:rPr>
  </w:style>
  <w:style w:type="character" w:customStyle="1" w:styleId="545">
    <w:name w:val="标题 8 字符1"/>
    <w:qFormat/>
    <w:uiPriority w:val="0"/>
    <w:rPr>
      <w:rFonts w:ascii="Arial" w:hAnsi="Arial" w:eastAsia="黑体"/>
      <w:kern w:val="2"/>
      <w:sz w:val="21"/>
    </w:rPr>
  </w:style>
  <w:style w:type="character" w:customStyle="1" w:styleId="546">
    <w:name w:val="标题 9 字符1"/>
    <w:qFormat/>
    <w:uiPriority w:val="0"/>
    <w:rPr>
      <w:rFonts w:ascii="Arial" w:hAnsi="Arial" w:eastAsia="黑体"/>
      <w:kern w:val="2"/>
      <w:sz w:val="21"/>
    </w:rPr>
  </w:style>
  <w:style w:type="character" w:customStyle="1" w:styleId="547">
    <w:name w:val="正文缩进 字符1"/>
    <w:qFormat/>
    <w:uiPriority w:val="0"/>
    <w:rPr>
      <w:sz w:val="21"/>
    </w:rPr>
  </w:style>
  <w:style w:type="character" w:customStyle="1" w:styleId="548">
    <w:name w:val="页脚 字符1"/>
    <w:qFormat/>
    <w:uiPriority w:val="0"/>
    <w:rPr>
      <w:kern w:val="2"/>
      <w:sz w:val="18"/>
      <w:szCs w:val="18"/>
    </w:rPr>
  </w:style>
  <w:style w:type="character" w:customStyle="1" w:styleId="549">
    <w:name w:val="页眉 字符1"/>
    <w:qFormat/>
    <w:uiPriority w:val="0"/>
    <w:rPr>
      <w:kern w:val="2"/>
      <w:sz w:val="18"/>
      <w:szCs w:val="18"/>
    </w:rPr>
  </w:style>
  <w:style w:type="character" w:customStyle="1" w:styleId="550">
    <w:name w:val="small"/>
    <w:basedOn w:val="83"/>
    <w:qFormat/>
    <w:uiPriority w:val="0"/>
  </w:style>
  <w:style w:type="paragraph" w:customStyle="1" w:styleId="551">
    <w:name w:val="正文文本 21"/>
    <w:basedOn w:val="1"/>
    <w:qFormat/>
    <w:uiPriority w:val="0"/>
    <w:pPr>
      <w:widowControl/>
      <w:spacing w:line="240" w:lineRule="auto"/>
      <w:jc w:val="center"/>
    </w:pPr>
    <w:rPr>
      <w:rFonts w:ascii="Times New Roman" w:hAnsi="Times New Roman" w:eastAsia="黑体" w:cs="Times New Roman"/>
      <w:kern w:val="0"/>
      <w:sz w:val="44"/>
      <w:szCs w:val="20"/>
    </w:rPr>
  </w:style>
  <w:style w:type="paragraph" w:customStyle="1" w:styleId="552">
    <w:name w:val="Char1 Char Char Char Char"/>
    <w:basedOn w:val="1"/>
    <w:qFormat/>
    <w:uiPriority w:val="0"/>
    <w:pPr>
      <w:spacing w:line="240" w:lineRule="auto"/>
      <w:ind w:left="425"/>
      <w:jc w:val="both"/>
    </w:pPr>
    <w:rPr>
      <w:rFonts w:ascii="Times New Roman" w:hAnsi="Times New Roman" w:cs="Times New Roman"/>
      <w:szCs w:val="24"/>
    </w:rPr>
  </w:style>
  <w:style w:type="paragraph" w:customStyle="1" w:styleId="553">
    <w:name w:val="技标2"/>
    <w:basedOn w:val="5"/>
    <w:qFormat/>
    <w:uiPriority w:val="0"/>
    <w:pPr>
      <w:keepNext w:val="0"/>
      <w:keepLines w:val="0"/>
      <w:adjustRightInd w:val="0"/>
      <w:snapToGrid w:val="0"/>
      <w:spacing w:before="600" w:after="240" w:line="420" w:lineRule="atLeast"/>
      <w:jc w:val="center"/>
      <w:textAlignment w:val="baseline"/>
    </w:pPr>
    <w:rPr>
      <w:rFonts w:ascii="Times New Roman" w:hAnsi="Times New Roman" w:cs="Times New Roman"/>
      <w:bCs w:val="0"/>
      <w:kern w:val="0"/>
      <w:sz w:val="28"/>
      <w:szCs w:val="20"/>
    </w:rPr>
  </w:style>
  <w:style w:type="paragraph" w:customStyle="1" w:styleId="554">
    <w:name w:val="标准"/>
    <w:basedOn w:val="1"/>
    <w:qFormat/>
    <w:uiPriority w:val="0"/>
    <w:pPr>
      <w:adjustRightInd w:val="0"/>
      <w:spacing w:line="420" w:lineRule="atLeast"/>
      <w:ind w:firstLine="454"/>
      <w:jc w:val="center"/>
      <w:textAlignment w:val="baseline"/>
    </w:pPr>
    <w:rPr>
      <w:rFonts w:ascii="Times New Roman" w:hAnsi="Times New Roman" w:cs="Times New Roman"/>
      <w:kern w:val="0"/>
      <w:sz w:val="21"/>
      <w:szCs w:val="20"/>
    </w:rPr>
  </w:style>
  <w:style w:type="paragraph" w:customStyle="1" w:styleId="555">
    <w:name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6">
    <w:name w:val="Char1 Char Char Char1"/>
    <w:basedOn w:val="1"/>
    <w:qFormat/>
    <w:uiPriority w:val="0"/>
    <w:pPr>
      <w:spacing w:line="240" w:lineRule="auto"/>
      <w:jc w:val="both"/>
    </w:pPr>
    <w:rPr>
      <w:rFonts w:ascii="仿宋_GB2312" w:hAnsi="Times New Roman" w:eastAsia="仿宋_GB2312" w:cs="Times New Roman"/>
      <w:b/>
      <w:sz w:val="32"/>
      <w:szCs w:val="32"/>
    </w:rPr>
  </w:style>
  <w:style w:type="paragraph" w:customStyle="1" w:styleId="557">
    <w:name w:val="普通(网站)2"/>
    <w:basedOn w:val="1"/>
    <w:qFormat/>
    <w:uiPriority w:val="0"/>
    <w:pPr>
      <w:widowControl/>
      <w:spacing w:before="100" w:beforeAutospacing="1" w:after="100" w:afterAutospacing="1" w:line="240" w:lineRule="auto"/>
    </w:pPr>
    <w:rPr>
      <w:rFonts w:cs="宋体"/>
      <w:kern w:val="0"/>
      <w:szCs w:val="24"/>
    </w:rPr>
  </w:style>
  <w:style w:type="paragraph" w:customStyle="1" w:styleId="558">
    <w:name w:val="Char Char1 Char Char Char Char Char Char Char Char Char Char Char Char Char Char"/>
    <w:basedOn w:val="1"/>
    <w:qFormat/>
    <w:uiPriority w:val="0"/>
    <w:pPr>
      <w:widowControl/>
      <w:spacing w:after="160" w:line="240" w:lineRule="exact"/>
    </w:pPr>
    <w:rPr>
      <w:rFonts w:ascii="Times New Roman" w:hAnsi="Times New Roman" w:cs="Times New Roman"/>
      <w:sz w:val="21"/>
      <w:szCs w:val="24"/>
    </w:rPr>
  </w:style>
  <w:style w:type="paragraph" w:customStyle="1" w:styleId="559">
    <w:name w:val="Char Char Char Char Char Char Char Char Char Char Char Char Char Char Char Char Char Char Char1"/>
    <w:basedOn w:val="1"/>
    <w:qFormat/>
    <w:uiPriority w:val="0"/>
    <w:pPr>
      <w:widowControl/>
      <w:spacing w:after="160" w:line="240" w:lineRule="exact"/>
    </w:pPr>
    <w:rPr>
      <w:rFonts w:ascii="Times New Roman" w:hAnsi="Times New Roman" w:cs="Times New Roman"/>
      <w:sz w:val="21"/>
      <w:szCs w:val="24"/>
    </w:rPr>
  </w:style>
  <w:style w:type="paragraph" w:customStyle="1" w:styleId="560">
    <w:name w:val="Char Char1 Char Char Char Char Char Char1"/>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561">
    <w:name w:val="Char Char61"/>
    <w:basedOn w:val="1"/>
    <w:qFormat/>
    <w:uiPriority w:val="0"/>
    <w:pPr>
      <w:widowControl/>
      <w:spacing w:after="160" w:line="240" w:lineRule="exact"/>
    </w:pPr>
    <w:rPr>
      <w:rFonts w:ascii="Times New Roman" w:hAnsi="Times New Roman" w:cs="Times New Roman"/>
      <w:sz w:val="21"/>
      <w:szCs w:val="24"/>
    </w:rPr>
  </w:style>
  <w:style w:type="character" w:customStyle="1" w:styleId="562">
    <w:name w:val="skip_21"/>
    <w:qFormat/>
    <w:uiPriority w:val="0"/>
    <w:rPr>
      <w:color w:val="333333"/>
      <w:sz w:val="18"/>
      <w:szCs w:val="18"/>
      <w:u w:val="none"/>
    </w:rPr>
  </w:style>
  <w:style w:type="character" w:customStyle="1" w:styleId="563">
    <w:name w:val="文字 Char"/>
    <w:link w:val="564"/>
    <w:qFormat/>
    <w:uiPriority w:val="0"/>
    <w:rPr>
      <w:rFonts w:ascii="宋体"/>
      <w:sz w:val="28"/>
    </w:rPr>
  </w:style>
  <w:style w:type="paragraph" w:customStyle="1" w:styleId="564">
    <w:name w:val="文字"/>
    <w:basedOn w:val="1"/>
    <w:link w:val="563"/>
    <w:qFormat/>
    <w:uiPriority w:val="0"/>
    <w:pPr>
      <w:spacing w:line="312" w:lineRule="auto"/>
      <w:ind w:right="-210" w:firstLine="556"/>
      <w:jc w:val="both"/>
    </w:pPr>
    <w:rPr>
      <w:rFonts w:hAnsi="Times New Roman" w:cs="Times New Roman"/>
      <w:kern w:val="0"/>
      <w:sz w:val="28"/>
      <w:szCs w:val="20"/>
    </w:rPr>
  </w:style>
  <w:style w:type="character" w:customStyle="1" w:styleId="565">
    <w:name w:val="Char Char10"/>
    <w:link w:val="566"/>
    <w:qFormat/>
    <w:uiPriority w:val="0"/>
    <w:rPr>
      <w:rFonts w:ascii="Verdana" w:hAnsi="Verdana"/>
      <w:lang w:eastAsia="en-US"/>
    </w:rPr>
  </w:style>
  <w:style w:type="paragraph" w:customStyle="1" w:styleId="566">
    <w:name w:val="Char3"/>
    <w:basedOn w:val="1"/>
    <w:link w:val="565"/>
    <w:qFormat/>
    <w:uiPriority w:val="0"/>
    <w:pPr>
      <w:widowControl/>
      <w:spacing w:after="160" w:line="240" w:lineRule="exact"/>
    </w:pPr>
    <w:rPr>
      <w:rFonts w:ascii="Verdana" w:hAnsi="Verdana" w:cs="Times New Roman"/>
      <w:kern w:val="0"/>
      <w:sz w:val="20"/>
      <w:szCs w:val="20"/>
      <w:lang w:eastAsia="en-US"/>
    </w:rPr>
  </w:style>
  <w:style w:type="character" w:customStyle="1" w:styleId="567">
    <w:name w:val="正文缩进 Char Char1"/>
    <w:qFormat/>
    <w:uiPriority w:val="0"/>
    <w:rPr>
      <w:rFonts w:eastAsia="宋体"/>
      <w:kern w:val="2"/>
      <w:sz w:val="24"/>
      <w:szCs w:val="24"/>
      <w:lang w:val="en-US" w:eastAsia="zh-CN" w:bidi="ar-SA"/>
    </w:rPr>
  </w:style>
  <w:style w:type="character" w:customStyle="1" w:styleId="568">
    <w:name w:val="wenben1"/>
    <w:qFormat/>
    <w:uiPriority w:val="0"/>
    <w:rPr>
      <w:u w:val="none"/>
    </w:rPr>
  </w:style>
  <w:style w:type="character" w:customStyle="1" w:styleId="569">
    <w:name w:val="a9"/>
    <w:basedOn w:val="83"/>
    <w:qFormat/>
    <w:uiPriority w:val="0"/>
  </w:style>
  <w:style w:type="character" w:customStyle="1" w:styleId="570">
    <w:name w:val="text-4"/>
    <w:basedOn w:val="83"/>
    <w:qFormat/>
    <w:uiPriority w:val="0"/>
  </w:style>
  <w:style w:type="character" w:customStyle="1" w:styleId="571">
    <w:name w:val="verdana14ptboldblack1"/>
    <w:qFormat/>
    <w:uiPriority w:val="0"/>
    <w:rPr>
      <w:rFonts w:hint="default" w:ascii="Verdana" w:hAnsi="Verdana"/>
      <w:b/>
      <w:color w:val="000000"/>
      <w:sz w:val="22"/>
      <w:szCs w:val="22"/>
    </w:rPr>
  </w:style>
  <w:style w:type="character" w:customStyle="1" w:styleId="572">
    <w:name w:val="blacktext"/>
    <w:basedOn w:val="83"/>
    <w:qFormat/>
    <w:uiPriority w:val="0"/>
  </w:style>
  <w:style w:type="character" w:customStyle="1" w:styleId="573">
    <w:name w:val="标题 4 Char Char"/>
    <w:qFormat/>
    <w:uiPriority w:val="0"/>
    <w:rPr>
      <w:rFonts w:ascii="Arial" w:hAnsi="Arial" w:eastAsia="黑体"/>
      <w:b/>
      <w:kern w:val="2"/>
      <w:sz w:val="28"/>
      <w:szCs w:val="28"/>
      <w:lang w:val="en-US" w:eastAsia="zh-CN" w:bidi="ar-SA"/>
    </w:rPr>
  </w:style>
  <w:style w:type="character" w:customStyle="1" w:styleId="574">
    <w:name w:val="正文2 Char Char"/>
    <w:link w:val="575"/>
    <w:qFormat/>
    <w:uiPriority w:val="0"/>
    <w:rPr>
      <w:rFonts w:eastAsia="仿宋_GB2312"/>
      <w:sz w:val="28"/>
    </w:rPr>
  </w:style>
  <w:style w:type="paragraph" w:customStyle="1" w:styleId="575">
    <w:name w:val="正文2 Char"/>
    <w:basedOn w:val="1"/>
    <w:link w:val="574"/>
    <w:qFormat/>
    <w:uiPriority w:val="0"/>
    <w:pPr>
      <w:spacing w:beforeLines="20" w:afterLines="20"/>
      <w:ind w:firstLine="200" w:firstLineChars="200"/>
      <w:jc w:val="both"/>
    </w:pPr>
    <w:rPr>
      <w:rFonts w:ascii="Times New Roman" w:hAnsi="Times New Roman" w:eastAsia="仿宋_GB2312" w:cs="Times New Roman"/>
      <w:kern w:val="0"/>
      <w:sz w:val="28"/>
      <w:szCs w:val="20"/>
    </w:rPr>
  </w:style>
  <w:style w:type="character" w:customStyle="1" w:styleId="576">
    <w:name w:val="Body Char"/>
    <w:link w:val="577"/>
    <w:qFormat/>
    <w:uiPriority w:val="0"/>
    <w:rPr>
      <w:rFonts w:ascii="宋体" w:hAnsi="宋体"/>
      <w:sz w:val="24"/>
    </w:rPr>
  </w:style>
  <w:style w:type="paragraph" w:customStyle="1" w:styleId="577">
    <w:name w:val="Body"/>
    <w:basedOn w:val="1"/>
    <w:link w:val="576"/>
    <w:qFormat/>
    <w:uiPriority w:val="0"/>
    <w:pPr>
      <w:widowControl/>
      <w:spacing w:beforeLines="50" w:afterLines="50"/>
      <w:jc w:val="both"/>
    </w:pPr>
    <w:rPr>
      <w:rFonts w:cs="Times New Roman"/>
      <w:kern w:val="0"/>
      <w:szCs w:val="20"/>
    </w:rPr>
  </w:style>
  <w:style w:type="character" w:customStyle="1" w:styleId="578">
    <w:name w:val="表格 Char"/>
    <w:link w:val="317"/>
    <w:qFormat/>
    <w:uiPriority w:val="0"/>
    <w:rPr>
      <w:sz w:val="24"/>
    </w:rPr>
  </w:style>
  <w:style w:type="character" w:customStyle="1" w:styleId="579">
    <w:name w:val="正文首行缩进 Char"/>
    <w:qFormat/>
    <w:uiPriority w:val="0"/>
    <w:rPr>
      <w:rFonts w:ascii="Times New Roman" w:hAnsi="Times New Roman" w:eastAsia="宋体" w:cs="Times New Roman"/>
      <w:kern w:val="2"/>
      <w:sz w:val="21"/>
      <w:szCs w:val="24"/>
      <w:lang w:val="en-US" w:eastAsia="zh-CN" w:bidi="ar-SA"/>
    </w:rPr>
  </w:style>
  <w:style w:type="character" w:customStyle="1" w:styleId="580">
    <w:name w:val="正文首行缩进 2 Char"/>
    <w:qFormat/>
    <w:uiPriority w:val="0"/>
    <w:rPr>
      <w:rFonts w:ascii="宋体" w:hAnsi="宋体" w:eastAsia="宋体" w:cs="Times New Roman"/>
      <w:kern w:val="2"/>
      <w:sz w:val="21"/>
      <w:szCs w:val="24"/>
    </w:rPr>
  </w:style>
  <w:style w:type="character" w:customStyle="1" w:styleId="581">
    <w:name w:val="highlight1"/>
    <w:qFormat/>
    <w:uiPriority w:val="0"/>
    <w:rPr>
      <w:sz w:val="21"/>
      <w:szCs w:val="21"/>
    </w:rPr>
  </w:style>
  <w:style w:type="character" w:customStyle="1" w:styleId="582">
    <w:name w:val="标题 2 Char Char"/>
    <w:qFormat/>
    <w:uiPriority w:val="0"/>
    <w:rPr>
      <w:rFonts w:ascii="Arial" w:hAnsi="Arial" w:eastAsia="黑体"/>
      <w:b/>
      <w:kern w:val="2"/>
      <w:sz w:val="32"/>
      <w:szCs w:val="32"/>
      <w:lang w:val="en-US" w:eastAsia="zh-CN" w:bidi="ar-SA"/>
    </w:rPr>
  </w:style>
  <w:style w:type="character" w:customStyle="1" w:styleId="583">
    <w:name w:val="标题 3 Char Char"/>
    <w:qFormat/>
    <w:uiPriority w:val="0"/>
    <w:rPr>
      <w:rFonts w:eastAsia="宋体"/>
      <w:b/>
      <w:kern w:val="2"/>
      <w:sz w:val="32"/>
      <w:szCs w:val="32"/>
      <w:lang w:val="en-US" w:eastAsia="zh-CN" w:bidi="ar-SA"/>
    </w:rPr>
  </w:style>
  <w:style w:type="character" w:customStyle="1" w:styleId="584">
    <w:name w:val="正文文字 Char Char"/>
    <w:link w:val="585"/>
    <w:qFormat/>
    <w:uiPriority w:val="0"/>
    <w:rPr>
      <w:color w:val="000000"/>
      <w:sz w:val="28"/>
      <w:szCs w:val="28"/>
    </w:rPr>
  </w:style>
  <w:style w:type="paragraph" w:customStyle="1" w:styleId="585">
    <w:name w:val="正文文字"/>
    <w:basedOn w:val="1"/>
    <w:link w:val="584"/>
    <w:qFormat/>
    <w:uiPriority w:val="0"/>
    <w:pPr>
      <w:spacing w:line="240" w:lineRule="auto"/>
      <w:ind w:firstLine="482"/>
      <w:jc w:val="both"/>
    </w:pPr>
    <w:rPr>
      <w:rFonts w:ascii="Times New Roman" w:hAnsi="Times New Roman" w:cs="Times New Roman"/>
      <w:color w:val="000000"/>
      <w:kern w:val="0"/>
      <w:sz w:val="28"/>
      <w:szCs w:val="28"/>
    </w:rPr>
  </w:style>
  <w:style w:type="character" w:customStyle="1" w:styleId="586">
    <w:name w:val="文档正文 Char"/>
    <w:link w:val="587"/>
    <w:qFormat/>
    <w:uiPriority w:val="0"/>
    <w:rPr>
      <w:rFonts w:ascii="长城仿宋"/>
      <w:sz w:val="24"/>
    </w:rPr>
  </w:style>
  <w:style w:type="paragraph" w:customStyle="1" w:styleId="587">
    <w:name w:val="文档正文"/>
    <w:basedOn w:val="1"/>
    <w:link w:val="586"/>
    <w:qFormat/>
    <w:uiPriority w:val="0"/>
    <w:pPr>
      <w:adjustRightInd w:val="0"/>
      <w:spacing w:line="480" w:lineRule="atLeast"/>
      <w:ind w:firstLine="567"/>
      <w:jc w:val="both"/>
      <w:textAlignment w:val="baseline"/>
    </w:pPr>
    <w:rPr>
      <w:rFonts w:ascii="长城仿宋" w:hAnsi="Times New Roman" w:cs="Times New Roman"/>
      <w:kern w:val="0"/>
      <w:szCs w:val="20"/>
    </w:rPr>
  </w:style>
  <w:style w:type="character" w:customStyle="1" w:styleId="588">
    <w:name w:val="pt101"/>
    <w:qFormat/>
    <w:uiPriority w:val="0"/>
    <w:rPr>
      <w:sz w:val="14"/>
      <w:szCs w:val="14"/>
    </w:rPr>
  </w:style>
  <w:style w:type="character" w:customStyle="1" w:styleId="589">
    <w:name w:val="msonormal"/>
    <w:basedOn w:val="83"/>
    <w:qFormat/>
    <w:uiPriority w:val="0"/>
  </w:style>
  <w:style w:type="character" w:customStyle="1" w:styleId="590">
    <w:name w:val="font"/>
    <w:basedOn w:val="83"/>
    <w:qFormat/>
    <w:uiPriority w:val="0"/>
  </w:style>
  <w:style w:type="character" w:customStyle="1" w:styleId="591">
    <w:name w:val="常用正文 Char"/>
    <w:link w:val="592"/>
    <w:qFormat/>
    <w:uiPriority w:val="0"/>
    <w:rPr>
      <w:rFonts w:ascii="Arial" w:hAnsi="Arial" w:eastAsia="楷体_GB2312"/>
      <w:sz w:val="24"/>
    </w:rPr>
  </w:style>
  <w:style w:type="paragraph" w:customStyle="1" w:styleId="592">
    <w:name w:val="常用正文"/>
    <w:link w:val="591"/>
    <w:qFormat/>
    <w:uiPriority w:val="0"/>
    <w:pPr>
      <w:widowControl w:val="0"/>
      <w:spacing w:line="360" w:lineRule="auto"/>
      <w:ind w:firstLine="200" w:firstLineChars="200"/>
      <w:textAlignment w:val="bottom"/>
    </w:pPr>
    <w:rPr>
      <w:rFonts w:ascii="Arial" w:hAnsi="Arial" w:eastAsia="楷体_GB2312" w:cs="Times New Roman"/>
      <w:sz w:val="24"/>
      <w:lang w:val="en-US" w:eastAsia="zh-CN" w:bidi="ar-SA"/>
    </w:rPr>
  </w:style>
  <w:style w:type="character" w:customStyle="1" w:styleId="593">
    <w:name w:val="txt1"/>
    <w:qFormat/>
    <w:uiPriority w:val="0"/>
    <w:rPr>
      <w:rFonts w:hint="default" w:ascii="ˎ̥" w:hAnsi="ˎ̥"/>
      <w:sz w:val="18"/>
      <w:szCs w:val="18"/>
    </w:rPr>
  </w:style>
  <w:style w:type="character" w:customStyle="1" w:styleId="594">
    <w:name w:val="case31"/>
    <w:qFormat/>
    <w:uiPriority w:val="0"/>
    <w:rPr>
      <w:rFonts w:hint="default" w:eastAsia="宋体"/>
      <w:kern w:val="2"/>
      <w:sz w:val="21"/>
      <w:lang w:val="en-US" w:eastAsia="zh-CN"/>
    </w:rPr>
  </w:style>
  <w:style w:type="character" w:customStyle="1" w:styleId="595">
    <w:name w:val="boldtitle1"/>
    <w:qFormat/>
    <w:uiPriority w:val="0"/>
    <w:rPr>
      <w:rFonts w:hint="default" w:ascii="Arial Black" w:hAnsi="Arial Black"/>
      <w:sz w:val="36"/>
    </w:rPr>
  </w:style>
  <w:style w:type="character" w:customStyle="1" w:styleId="596">
    <w:name w:val="样式 正文缩进 + 首行缩进:  2 字符 Char"/>
    <w:link w:val="597"/>
    <w:qFormat/>
    <w:uiPriority w:val="0"/>
    <w:rPr>
      <w:rFonts w:cs="宋体"/>
      <w:sz w:val="24"/>
    </w:rPr>
  </w:style>
  <w:style w:type="paragraph" w:customStyle="1" w:styleId="597">
    <w:name w:val="样式 正文缩进 + 首行缩进:  2 字符"/>
    <w:basedOn w:val="8"/>
    <w:link w:val="596"/>
    <w:qFormat/>
    <w:uiPriority w:val="0"/>
    <w:pPr>
      <w:autoSpaceDE/>
      <w:autoSpaceDN/>
      <w:ind w:left="0" w:firstLine="200" w:firstLineChars="200"/>
      <w:jc w:val="both"/>
    </w:pPr>
    <w:rPr>
      <w:rFonts w:ascii="Times New Roman" w:hAnsi="Times New Roman" w:cs="宋体"/>
      <w:kern w:val="0"/>
    </w:rPr>
  </w:style>
  <w:style w:type="paragraph" w:customStyle="1" w:styleId="598">
    <w:name w:val="font1"/>
    <w:basedOn w:val="1"/>
    <w:qFormat/>
    <w:uiPriority w:val="0"/>
    <w:pPr>
      <w:widowControl/>
      <w:spacing w:before="100" w:beforeAutospacing="1" w:after="100" w:afterAutospacing="1" w:line="300" w:lineRule="atLeast"/>
    </w:pPr>
    <w:rPr>
      <w:rFonts w:cs="Times New Roman"/>
      <w:kern w:val="0"/>
      <w:sz w:val="18"/>
      <w:szCs w:val="20"/>
    </w:rPr>
  </w:style>
  <w:style w:type="paragraph" w:customStyle="1" w:styleId="599">
    <w:name w:val="2册标题2"/>
    <w:basedOn w:val="1"/>
    <w:next w:val="1"/>
    <w:qFormat/>
    <w:uiPriority w:val="0"/>
    <w:pPr>
      <w:spacing w:beforeLines="50" w:afterLines="50" w:line="300" w:lineRule="auto"/>
      <w:jc w:val="both"/>
      <w:outlineLvl w:val="1"/>
    </w:pPr>
    <w:rPr>
      <w:rFonts w:ascii="Arial" w:hAnsi="Arial" w:eastAsia="黑体" w:cs="Times New Roman"/>
      <w:sz w:val="30"/>
      <w:szCs w:val="20"/>
    </w:rPr>
  </w:style>
  <w:style w:type="paragraph" w:customStyle="1" w:styleId="600">
    <w:name w:val="msonormal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1">
    <w:name w:val="正文 3"/>
    <w:basedOn w:val="130"/>
    <w:next w:val="130"/>
    <w:qFormat/>
    <w:uiPriority w:val="0"/>
    <w:pPr>
      <w:spacing w:before="120"/>
    </w:pPr>
    <w:rPr>
      <w:rFonts w:ascii="Garamond" w:hAnsi="Garamond" w:eastAsia="宋体"/>
      <w:color w:val="auto"/>
      <w:szCs w:val="20"/>
    </w:rPr>
  </w:style>
  <w:style w:type="paragraph" w:customStyle="1" w:styleId="602">
    <w:name w:val="表格文字加粗"/>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603">
    <w:name w:val="±íÏî"/>
    <w:basedOn w:val="1"/>
    <w:qFormat/>
    <w:uiPriority w:val="0"/>
    <w:pPr>
      <w:widowControl/>
      <w:overflowPunct w:val="0"/>
      <w:autoSpaceDE w:val="0"/>
      <w:autoSpaceDN w:val="0"/>
      <w:adjustRightInd w:val="0"/>
      <w:spacing w:line="300" w:lineRule="auto"/>
      <w:jc w:val="center"/>
      <w:textAlignment w:val="baseline"/>
    </w:pPr>
    <w:rPr>
      <w:rFonts w:ascii="Times New Roman" w:hAnsi="Times New Roman" w:cs="Times New Roman"/>
      <w:kern w:val="0"/>
      <w:sz w:val="18"/>
      <w:szCs w:val="20"/>
    </w:rPr>
  </w:style>
  <w:style w:type="paragraph" w:customStyle="1" w:styleId="604">
    <w:name w:val="无编号标题0"/>
    <w:next w:val="1"/>
    <w:qFormat/>
    <w:uiPriority w:val="0"/>
    <w:pPr>
      <w:jc w:val="center"/>
    </w:pPr>
    <w:rPr>
      <w:rFonts w:ascii="Times New Roman" w:hAnsi="Times New Roman" w:eastAsia="黑体" w:cs="Times New Roman"/>
      <w:kern w:val="2"/>
      <w:sz w:val="52"/>
      <w:szCs w:val="24"/>
      <w:lang w:val="en-US" w:eastAsia="zh-CN" w:bidi="ar-SA"/>
    </w:rPr>
  </w:style>
  <w:style w:type="character" w:customStyle="1" w:styleId="605">
    <w:name w:val="z-窗体顶端 Char1"/>
    <w:qFormat/>
    <w:uiPriority w:val="0"/>
    <w:rPr>
      <w:rFonts w:ascii="Arial" w:hAnsi="Arial" w:eastAsia="宋体" w:cs="Times New Roman"/>
      <w:vanish/>
      <w:kern w:val="0"/>
      <w:sz w:val="16"/>
      <w:szCs w:val="16"/>
    </w:rPr>
  </w:style>
  <w:style w:type="character" w:customStyle="1" w:styleId="606">
    <w:name w:val="z-窗体顶端 Char"/>
    <w:qFormat/>
    <w:uiPriority w:val="0"/>
    <w:rPr>
      <w:rFonts w:ascii="Arial" w:hAnsi="Arial" w:cs="Arial"/>
      <w:vanish/>
      <w:kern w:val="2"/>
      <w:sz w:val="16"/>
      <w:szCs w:val="16"/>
    </w:rPr>
  </w:style>
  <w:style w:type="paragraph" w:customStyle="1" w:styleId="607">
    <w:name w:val="wenjianming"/>
    <w:basedOn w:val="1"/>
    <w:qFormat/>
    <w:uiPriority w:val="0"/>
    <w:pPr>
      <w:widowControl/>
      <w:spacing w:before="100" w:beforeAutospacing="1" w:after="100" w:afterAutospacing="1" w:line="300" w:lineRule="atLeast"/>
    </w:pPr>
    <w:rPr>
      <w:rFonts w:ascii="Times New Roman" w:hAnsi="Times New Roman" w:eastAsia="Arial Unicode MS" w:cs="Times New Roman"/>
      <w:color w:val="000000"/>
      <w:kern w:val="0"/>
      <w:sz w:val="21"/>
      <w:szCs w:val="20"/>
    </w:rPr>
  </w:style>
  <w:style w:type="paragraph" w:customStyle="1" w:styleId="608">
    <w:name w:val="Item List"/>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609">
    <w:name w:val="Char11"/>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10">
    <w:name w:val="表正文"/>
    <w:next w:val="31"/>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pPr>
    <w:rPr>
      <w:rFonts w:ascii="Verdana" w:hAnsi="Verdana" w:eastAsia="仿宋_GB2312" w:cs="Times New Roman"/>
      <w:kern w:val="0"/>
      <w:szCs w:val="20"/>
      <w:lang w:eastAsia="en-US"/>
    </w:rPr>
  </w:style>
  <w:style w:type="paragraph" w:customStyle="1" w:styleId="612">
    <w:name w:val="Char Char Char Char Char Char Char Char Char Char Char Char Char Char Char Char2"/>
    <w:basedOn w:val="1"/>
    <w:qFormat/>
    <w:uiPriority w:val="0"/>
    <w:pPr>
      <w:spacing w:line="240" w:lineRule="auto"/>
      <w:jc w:val="both"/>
    </w:pPr>
    <w:rPr>
      <w:rFonts w:ascii="Times New Roman" w:hAnsi="Times New Roman" w:cs="Times New Roman"/>
      <w:szCs w:val="24"/>
    </w:rPr>
  </w:style>
  <w:style w:type="paragraph" w:customStyle="1" w:styleId="613">
    <w:name w:val="一般正文"/>
    <w:basedOn w:val="1"/>
    <w:qFormat/>
    <w:uiPriority w:val="0"/>
    <w:pPr>
      <w:ind w:firstLine="480" w:firstLineChars="200"/>
      <w:jc w:val="both"/>
    </w:pPr>
    <w:rPr>
      <w:rFonts w:ascii="Times New Roman" w:hAnsi="Times New Roman" w:cs="宋体"/>
      <w:szCs w:val="20"/>
    </w:rPr>
  </w:style>
  <w:style w:type="paragraph" w:customStyle="1" w:styleId="614">
    <w:name w:val="表注"/>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15">
    <w:name w:val="正文内"/>
    <w:basedOn w:val="3"/>
    <w:qFormat/>
    <w:uiPriority w:val="0"/>
    <w:pPr>
      <w:spacing w:line="576" w:lineRule="auto"/>
    </w:pPr>
    <w:rPr>
      <w:rFonts w:ascii="Times New Roman" w:hAnsi="Times New Roman" w:eastAsia="宋体" w:cs="Times New Roman"/>
      <w:bCs w:val="0"/>
      <w:sz w:val="21"/>
      <w:szCs w:val="21"/>
    </w:rPr>
  </w:style>
  <w:style w:type="paragraph" w:customStyle="1" w:styleId="616">
    <w:name w:val="图注"/>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17">
    <w:name w:val="2册标题4"/>
    <w:basedOn w:val="1"/>
    <w:next w:val="1"/>
    <w:qFormat/>
    <w:uiPriority w:val="0"/>
    <w:pPr>
      <w:spacing w:beforeLines="50" w:afterLines="50" w:line="300" w:lineRule="auto"/>
      <w:ind w:left="420" w:leftChars="200"/>
      <w:jc w:val="both"/>
      <w:outlineLvl w:val="3"/>
    </w:pPr>
    <w:rPr>
      <w:rFonts w:ascii="Arial" w:hAnsi="Arial" w:eastAsia="幼圆" w:cs="Times New Roman"/>
      <w:b/>
      <w:szCs w:val="20"/>
    </w:rPr>
  </w:style>
  <w:style w:type="paragraph" w:customStyle="1" w:styleId="618">
    <w:name w:val="Char Char Char Char Char Char Char Char"/>
    <w:basedOn w:val="1"/>
    <w:qFormat/>
    <w:uiPriority w:val="0"/>
    <w:pPr>
      <w:spacing w:line="240" w:lineRule="auto"/>
      <w:jc w:val="both"/>
    </w:pPr>
    <w:rPr>
      <w:rFonts w:ascii="Times New Roman" w:hAnsi="Times New Roman" w:cs="Times New Roman"/>
      <w:szCs w:val="24"/>
    </w:rPr>
  </w:style>
  <w:style w:type="paragraph" w:customStyle="1" w:styleId="619">
    <w:name w:val="Bullet with text 1"/>
    <w:basedOn w:val="1"/>
    <w:qFormat/>
    <w:uiPriority w:val="0"/>
    <w:pPr>
      <w:widowControl/>
      <w:ind w:left="425" w:hanging="425"/>
    </w:pPr>
    <w:rPr>
      <w:rFonts w:ascii="Futura Bk" w:hAnsi="Futura Bk" w:cs="Times New Roman"/>
      <w:kern w:val="0"/>
      <w:sz w:val="20"/>
      <w:szCs w:val="20"/>
      <w:lang w:val="zh-CN"/>
    </w:rPr>
  </w:style>
  <w:style w:type="paragraph" w:customStyle="1" w:styleId="620">
    <w:name w:val="缺省文本:1"/>
    <w:basedOn w:val="1"/>
    <w:qFormat/>
    <w:uiPriority w:val="0"/>
    <w:pPr>
      <w:autoSpaceDE w:val="0"/>
      <w:autoSpaceDN w:val="0"/>
      <w:adjustRightInd w:val="0"/>
      <w:spacing w:line="240" w:lineRule="auto"/>
    </w:pPr>
    <w:rPr>
      <w:rFonts w:hAnsi="Times New Roman" w:cs="Times New Roman"/>
      <w:kern w:val="0"/>
      <w:szCs w:val="20"/>
    </w:rPr>
  </w:style>
  <w:style w:type="paragraph" w:customStyle="1" w:styleId="621">
    <w:name w:val="Char Char Char Char1"/>
    <w:basedOn w:val="1"/>
    <w:qFormat/>
    <w:uiPriority w:val="0"/>
    <w:pPr>
      <w:spacing w:line="240" w:lineRule="auto"/>
      <w:jc w:val="both"/>
    </w:pPr>
    <w:rPr>
      <w:rFonts w:ascii="楷体_GB2312" w:hAnsi="Times New Roman" w:eastAsia="楷体_GB2312" w:cs="Times New Roman"/>
      <w:szCs w:val="24"/>
    </w:rPr>
  </w:style>
  <w:style w:type="paragraph" w:customStyle="1" w:styleId="622">
    <w:name w:val="方案正文"/>
    <w:basedOn w:val="1"/>
    <w:qFormat/>
    <w:uiPriority w:val="0"/>
    <w:pPr>
      <w:spacing w:before="156"/>
      <w:ind w:firstLine="359" w:firstLineChars="171"/>
    </w:pPr>
    <w:rPr>
      <w:rFonts w:ascii="Arial" w:hAnsi="Arial" w:cs="Times New Roman"/>
      <w:szCs w:val="20"/>
    </w:rPr>
  </w:style>
  <w:style w:type="paragraph" w:customStyle="1" w:styleId="623">
    <w:name w:val="正文0"/>
    <w:basedOn w:val="1"/>
    <w:qFormat/>
    <w:uiPriority w:val="0"/>
    <w:pPr>
      <w:ind w:firstLine="482"/>
      <w:jc w:val="center"/>
    </w:pPr>
    <w:rPr>
      <w:rFonts w:ascii="Times New Roman" w:hAnsi="Times New Roman" w:cs="Times New Roman"/>
      <w:color w:val="000000"/>
      <w:szCs w:val="24"/>
    </w:rPr>
  </w:style>
  <w:style w:type="paragraph" w:customStyle="1" w:styleId="624">
    <w:name w:val="Char Char Char Char Char Char1 Char1"/>
    <w:basedOn w:val="1"/>
    <w:qFormat/>
    <w:uiPriority w:val="0"/>
    <w:pPr>
      <w:widowControl/>
      <w:spacing w:after="160" w:line="240" w:lineRule="exact"/>
    </w:pPr>
    <w:rPr>
      <w:rFonts w:ascii="Verdana" w:hAnsi="Verdana" w:cs="Times New Roman"/>
      <w:kern w:val="0"/>
      <w:sz w:val="21"/>
      <w:szCs w:val="20"/>
      <w:lang w:eastAsia="en-US"/>
    </w:rPr>
  </w:style>
  <w:style w:type="paragraph" w:customStyle="1" w:styleId="625">
    <w:name w:val="Char Char Char Char Char Char Char Char Char Char Char Char Char"/>
    <w:basedOn w:val="1"/>
    <w:qFormat/>
    <w:uiPriority w:val="0"/>
    <w:pPr>
      <w:adjustRightInd w:val="0"/>
      <w:jc w:val="both"/>
    </w:pPr>
    <w:rPr>
      <w:rFonts w:ascii="Times New Roman" w:hAnsi="Times New Roman" w:cs="Times New Roman"/>
      <w:kern w:val="0"/>
      <w:szCs w:val="24"/>
    </w:rPr>
  </w:style>
  <w:style w:type="paragraph" w:customStyle="1" w:styleId="626">
    <w:name w:val="b2"/>
    <w:basedOn w:val="1"/>
    <w:qFormat/>
    <w:uiPriority w:val="0"/>
    <w:pPr>
      <w:ind w:left="420" w:hanging="420"/>
      <w:jc w:val="both"/>
    </w:pPr>
    <w:rPr>
      <w:rFonts w:cs="Times New Roman"/>
      <w:szCs w:val="20"/>
    </w:rPr>
  </w:style>
  <w:style w:type="paragraph" w:customStyle="1" w:styleId="627">
    <w:name w:val="样式3-A商务部分"/>
    <w:basedOn w:val="5"/>
    <w:qFormat/>
    <w:uiPriority w:val="0"/>
    <w:pPr>
      <w:spacing w:line="360" w:lineRule="exact"/>
      <w:ind w:left="1260" w:hanging="420"/>
      <w:jc w:val="both"/>
    </w:pPr>
    <w:rPr>
      <w:rFonts w:ascii="Times New Roman" w:hAnsi="Times New Roman" w:cs="Times New Roman"/>
      <w:bCs w:val="0"/>
      <w:sz w:val="28"/>
    </w:rPr>
  </w:style>
  <w:style w:type="paragraph" w:customStyle="1" w:styleId="628">
    <w:name w:val="+正文"/>
    <w:basedOn w:val="1"/>
    <w:qFormat/>
    <w:uiPriority w:val="0"/>
    <w:pPr>
      <w:ind w:firstLine="200" w:firstLineChars="200"/>
      <w:jc w:val="both"/>
    </w:pPr>
    <w:rPr>
      <w:rFonts w:ascii="Times New Roman" w:hAnsi="Times New Roman" w:cs="Times New Roman"/>
      <w:szCs w:val="28"/>
    </w:rPr>
  </w:style>
  <w:style w:type="paragraph" w:customStyle="1" w:styleId="629">
    <w:name w:val="Table Text"/>
    <w:basedOn w:val="1"/>
    <w:qFormat/>
    <w:uiPriority w:val="0"/>
    <w:pPr>
      <w:spacing w:line="240" w:lineRule="auto"/>
      <w:jc w:val="both"/>
    </w:pPr>
    <w:rPr>
      <w:rFonts w:ascii="Times New Roman" w:hAnsi="Times New Roman" w:cs="Times New Roman"/>
      <w:sz w:val="18"/>
      <w:szCs w:val="24"/>
    </w:rPr>
  </w:style>
  <w:style w:type="paragraph" w:customStyle="1" w:styleId="630">
    <w:name w:val="Char Char Char Char Char Char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31">
    <w:name w:val="无编号标题1"/>
    <w:next w:val="1"/>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32">
    <w:name w:val="xl22"/>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kern w:val="0"/>
      <w:sz w:val="20"/>
      <w:szCs w:val="20"/>
    </w:rPr>
  </w:style>
  <w:style w:type="paragraph" w:customStyle="1" w:styleId="633">
    <w:name w:val="标题  1"/>
    <w:basedOn w:val="1"/>
    <w:qFormat/>
    <w:uiPriority w:val="0"/>
    <w:pPr>
      <w:ind w:left="840" w:hanging="420"/>
      <w:jc w:val="both"/>
    </w:pPr>
    <w:rPr>
      <w:rFonts w:ascii="Times New Roman" w:hAnsi="Times New Roman" w:cs="Times New Roman"/>
      <w:szCs w:val="24"/>
    </w:rPr>
  </w:style>
  <w:style w:type="paragraph" w:customStyle="1" w:styleId="634">
    <w:name w:val="样式 宋体 三号 加粗 居中 行距: 最小值 12 磅"/>
    <w:basedOn w:val="1"/>
    <w:qFormat/>
    <w:uiPriority w:val="0"/>
    <w:pPr>
      <w:spacing w:line="240" w:lineRule="atLeast"/>
      <w:jc w:val="center"/>
    </w:pPr>
    <w:rPr>
      <w:rFonts w:cs="Times New Roman"/>
      <w:b/>
      <w:sz w:val="21"/>
      <w:szCs w:val="20"/>
    </w:rPr>
  </w:style>
  <w:style w:type="paragraph" w:customStyle="1" w:styleId="635">
    <w:name w:val="无编号标题2"/>
    <w:next w:val="1"/>
    <w:qFormat/>
    <w:uiPriority w:val="0"/>
    <w:pPr>
      <w:jc w:val="center"/>
    </w:pPr>
    <w:rPr>
      <w:rFonts w:ascii="Arial" w:hAnsi="Arial" w:eastAsia="黑体" w:cs="Times New Roman"/>
      <w:kern w:val="2"/>
      <w:sz w:val="32"/>
      <w:szCs w:val="32"/>
      <w:lang w:val="en-US" w:eastAsia="zh-CN" w:bidi="ar-SA"/>
    </w:rPr>
  </w:style>
  <w:style w:type="paragraph" w:customStyle="1" w:styleId="636">
    <w:name w:val="正文文字缩进 2"/>
    <w:basedOn w:val="1"/>
    <w:qFormat/>
    <w:uiPriority w:val="0"/>
    <w:pPr>
      <w:spacing w:line="719" w:lineRule="atLeast"/>
      <w:ind w:left="1" w:firstLine="562"/>
      <w:jc w:val="both"/>
      <w:textAlignment w:val="bottom"/>
    </w:pPr>
    <w:rPr>
      <w:rFonts w:ascii="Times New Roman" w:hAnsi="Times New Roman" w:cs="Times New Roman"/>
      <w:color w:val="000000"/>
      <w:kern w:val="0"/>
      <w:sz w:val="28"/>
      <w:szCs w:val="20"/>
    </w:rPr>
  </w:style>
  <w:style w:type="paragraph" w:customStyle="1" w:styleId="637">
    <w:name w:val="正文，首行缩进"/>
    <w:basedOn w:val="31"/>
    <w:next w:val="8"/>
    <w:qFormat/>
    <w:uiPriority w:val="0"/>
    <w:pPr>
      <w:widowControl/>
      <w:spacing w:after="0" w:line="360" w:lineRule="auto"/>
      <w:ind w:firstLine="482"/>
    </w:pPr>
    <w:rPr>
      <w:rFonts w:ascii="楷体" w:hAnsi="Arial" w:eastAsia="楷体" w:cs="Times New Roman"/>
      <w:kern w:val="0"/>
      <w:sz w:val="24"/>
      <w:szCs w:val="20"/>
      <w:lang w:val="zh-CN"/>
    </w:rPr>
  </w:style>
  <w:style w:type="paragraph" w:customStyle="1" w:styleId="638">
    <w:name w:val="排版"/>
    <w:basedOn w:val="1"/>
    <w:next w:val="31"/>
    <w:qFormat/>
    <w:uiPriority w:val="0"/>
    <w:pPr>
      <w:spacing w:line="600" w:lineRule="exact"/>
      <w:jc w:val="both"/>
    </w:pPr>
    <w:rPr>
      <w:rFonts w:ascii="Times New Roman" w:hAnsi="Times New Roman" w:eastAsia="华文仿宋" w:cs="Times New Roman"/>
      <w:spacing w:val="6"/>
      <w:sz w:val="32"/>
      <w:szCs w:val="24"/>
    </w:rPr>
  </w:style>
  <w:style w:type="paragraph" w:customStyle="1" w:styleId="639">
    <w:name w:val="公文正文"/>
    <w:basedOn w:val="1"/>
    <w:qFormat/>
    <w:uiPriority w:val="0"/>
    <w:pPr>
      <w:jc w:val="center"/>
    </w:pPr>
    <w:rPr>
      <w:rFonts w:ascii="Times New Roman" w:hAnsi="Times New Roman" w:eastAsia="华文仿宋" w:cs="Times New Roman"/>
      <w:b/>
      <w:sz w:val="32"/>
      <w:szCs w:val="20"/>
    </w:rPr>
  </w:style>
  <w:style w:type="paragraph" w:customStyle="1" w:styleId="640">
    <w:name w:val="图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641">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642">
    <w:name w:val="无编号标题3"/>
    <w:next w:val="1"/>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43">
    <w:name w:val="百姓X"/>
    <w:basedOn w:val="1"/>
    <w:qFormat/>
    <w:uiPriority w:val="0"/>
    <w:pPr>
      <w:spacing w:before="120" w:after="120"/>
      <w:ind w:firstLine="539"/>
      <w:jc w:val="both"/>
    </w:pPr>
    <w:rPr>
      <w:rFonts w:ascii="Times New Roman" w:hAnsi="Times New Roman" w:cs="Times New Roman"/>
      <w:szCs w:val="20"/>
    </w:rPr>
  </w:style>
  <w:style w:type="paragraph" w:customStyle="1" w:styleId="644">
    <w:name w:val="样式 行距: 固定值 25 磅 首行缩进:  2 字符"/>
    <w:basedOn w:val="1"/>
    <w:qFormat/>
    <w:uiPriority w:val="0"/>
    <w:pPr>
      <w:adjustRightInd w:val="0"/>
      <w:spacing w:line="500" w:lineRule="exact"/>
      <w:ind w:firstLine="560" w:firstLineChars="200"/>
      <w:jc w:val="both"/>
      <w:textAlignment w:val="baseline"/>
    </w:pPr>
    <w:rPr>
      <w:rFonts w:ascii="Times New Roman" w:hAnsi="Times New Roman" w:cs="Times New Roman"/>
      <w:kern w:val="0"/>
      <w:sz w:val="28"/>
      <w:szCs w:val="28"/>
    </w:rPr>
  </w:style>
  <w:style w:type="paragraph" w:customStyle="1" w:styleId="645">
    <w:name w:val="5"/>
    <w:basedOn w:val="1"/>
    <w:qFormat/>
    <w:uiPriority w:val="0"/>
    <w:pPr>
      <w:spacing w:beforeLines="50" w:afterLines="50" w:line="240" w:lineRule="auto"/>
      <w:ind w:left="200" w:leftChars="200"/>
      <w:jc w:val="both"/>
    </w:pPr>
    <w:rPr>
      <w:rFonts w:ascii="Times New Roman" w:hAnsi="Times New Roman" w:cs="Times New Roman"/>
      <w:sz w:val="28"/>
      <w:szCs w:val="24"/>
    </w:rPr>
  </w:style>
  <w:style w:type="paragraph" w:customStyle="1" w:styleId="646">
    <w:name w:val="Char Char Char Char Char Char Char1"/>
    <w:basedOn w:val="1"/>
    <w:qFormat/>
    <w:uiPriority w:val="0"/>
    <w:pPr>
      <w:spacing w:line="240" w:lineRule="auto"/>
      <w:jc w:val="both"/>
    </w:pPr>
    <w:rPr>
      <w:rFonts w:ascii="Times New Roman" w:hAnsi="Times New Roman" w:cs="Times New Roman"/>
      <w:sz w:val="21"/>
      <w:szCs w:val="24"/>
    </w:rPr>
  </w:style>
  <w:style w:type="paragraph" w:customStyle="1" w:styleId="647">
    <w:name w:val="Char Char Char1"/>
    <w:basedOn w:val="1"/>
    <w:qFormat/>
    <w:uiPriority w:val="0"/>
    <w:pPr>
      <w:spacing w:line="240" w:lineRule="auto"/>
      <w:jc w:val="both"/>
    </w:pPr>
    <w:rPr>
      <w:rFonts w:ascii="Tahoma" w:hAnsi="Tahoma" w:cs="Times New Roman"/>
      <w:szCs w:val="20"/>
    </w:rPr>
  </w:style>
  <w:style w:type="paragraph" w:customStyle="1" w:styleId="648">
    <w:name w:val="样式 样式 正文文本缩进 + 仿宋_GB2312 小四 首行缩进:  0 厘米 行距: 1.5 倍行距 + (中文) 仿宋_GB... Char Char"/>
    <w:basedOn w:val="1"/>
    <w:qFormat/>
    <w:uiPriority w:val="0"/>
    <w:pPr>
      <w:ind w:firstLine="480"/>
      <w:jc w:val="both"/>
    </w:pPr>
    <w:rPr>
      <w:rFonts w:ascii="仿宋_GB2312" w:hAnsi="Times New Roman" w:eastAsia="新宋体" w:cs="Times New Roman"/>
      <w:szCs w:val="20"/>
    </w:rPr>
  </w:style>
  <w:style w:type="paragraph" w:customStyle="1" w:styleId="649">
    <w:name w:val="±íÉí"/>
    <w:basedOn w:val="1"/>
    <w:qFormat/>
    <w:uiPriority w:val="0"/>
    <w:pPr>
      <w:widowControl/>
      <w:overflowPunct w:val="0"/>
      <w:autoSpaceDE w:val="0"/>
      <w:autoSpaceDN w:val="0"/>
      <w:adjustRightInd w:val="0"/>
      <w:spacing w:line="300" w:lineRule="auto"/>
      <w:textAlignment w:val="baseline"/>
    </w:pPr>
    <w:rPr>
      <w:rFonts w:ascii="Times New Roman" w:hAnsi="Times New Roman" w:cs="Times New Roman"/>
      <w:kern w:val="0"/>
      <w:sz w:val="18"/>
      <w:szCs w:val="20"/>
    </w:rPr>
  </w:style>
  <w:style w:type="paragraph" w:customStyle="1" w:styleId="6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cs="Times New Roman"/>
      <w:kern w:val="0"/>
      <w:sz w:val="20"/>
      <w:szCs w:val="20"/>
    </w:rPr>
  </w:style>
  <w:style w:type="paragraph" w:customStyle="1" w:styleId="651">
    <w:name w:val="Char Char Char Char Char Char Char Char Char Char Char Char Char Char Char1 Char"/>
    <w:basedOn w:val="1"/>
    <w:qFormat/>
    <w:uiPriority w:val="0"/>
    <w:pPr>
      <w:widowControl/>
      <w:spacing w:after="160" w:line="240" w:lineRule="exact"/>
    </w:pPr>
    <w:rPr>
      <w:rFonts w:ascii="Verdana" w:hAnsi="Verdana" w:cs="Times New Roman"/>
      <w:kern w:val="0"/>
      <w:sz w:val="20"/>
      <w:szCs w:val="20"/>
      <w:lang w:eastAsia="en-US"/>
    </w:rPr>
  </w:style>
  <w:style w:type="paragraph" w:customStyle="1" w:styleId="652">
    <w:name w:val="表格正文"/>
    <w:basedOn w:val="1"/>
    <w:qFormat/>
    <w:uiPriority w:val="0"/>
    <w:pPr>
      <w:spacing w:beforeLines="50" w:line="240" w:lineRule="auto"/>
      <w:jc w:val="both"/>
    </w:pPr>
    <w:rPr>
      <w:rFonts w:ascii="Times New Roman" w:hAnsi="Times New Roman" w:cs="宋体"/>
      <w:kern w:val="0"/>
      <w:sz w:val="21"/>
      <w:szCs w:val="20"/>
    </w:rPr>
  </w:style>
  <w:style w:type="paragraph" w:customStyle="1" w:styleId="653">
    <w:name w:val="缺省文本"/>
    <w:basedOn w:val="1"/>
    <w:qFormat/>
    <w:uiPriority w:val="0"/>
    <w:pPr>
      <w:widowControl/>
      <w:overflowPunct w:val="0"/>
      <w:autoSpaceDE w:val="0"/>
      <w:autoSpaceDN w:val="0"/>
      <w:adjustRightInd w:val="0"/>
      <w:snapToGrid w:val="0"/>
      <w:ind w:left="1620" w:hanging="1620"/>
      <w:jc w:val="both"/>
      <w:textAlignment w:val="baseline"/>
    </w:pPr>
    <w:rPr>
      <w:rFonts w:ascii="Times New Roman" w:hAnsi="Times New Roman" w:cs="Times New Roman"/>
      <w:kern w:val="0"/>
      <w:szCs w:val="20"/>
    </w:rPr>
  </w:style>
  <w:style w:type="paragraph" w:customStyle="1" w:styleId="654">
    <w:name w:val="2 Char Char Char Char Char Char Char Char Char Char"/>
    <w:basedOn w:val="1"/>
    <w:qFormat/>
    <w:uiPriority w:val="0"/>
    <w:pPr>
      <w:pageBreakBefore/>
      <w:spacing w:line="240" w:lineRule="auto"/>
      <w:ind w:left="1259"/>
      <w:jc w:val="both"/>
    </w:pPr>
    <w:rPr>
      <w:rFonts w:ascii="Times New Roman" w:hAnsi="Times New Roman" w:cs="Times New Roman"/>
      <w:kern w:val="44"/>
      <w:szCs w:val="24"/>
    </w:rPr>
  </w:style>
  <w:style w:type="paragraph" w:customStyle="1" w:styleId="655">
    <w:name w:val="符号列表"/>
    <w:basedOn w:val="1"/>
    <w:qFormat/>
    <w:uiPriority w:val="0"/>
    <w:pPr>
      <w:widowControl/>
      <w:snapToGrid w:val="0"/>
      <w:spacing w:before="120"/>
      <w:ind w:left="420" w:hanging="420"/>
    </w:pPr>
    <w:rPr>
      <w:rFonts w:ascii="楷体_GB2312" w:eastAsia="楷体_GB2312" w:cs="Times New Roman"/>
      <w:b/>
      <w:color w:val="000000"/>
      <w:szCs w:val="24"/>
    </w:rPr>
  </w:style>
  <w:style w:type="paragraph" w:customStyle="1" w:styleId="656">
    <w:name w:val="wen_2"/>
    <w:basedOn w:val="1"/>
    <w:qFormat/>
    <w:uiPriority w:val="0"/>
    <w:pPr>
      <w:widowControl/>
      <w:spacing w:before="100" w:beforeAutospacing="1" w:after="100" w:afterAutospacing="1" w:line="324" w:lineRule="auto"/>
    </w:pPr>
    <w:rPr>
      <w:rFonts w:ascii="Times New Roman" w:hAnsi="Times New Roman" w:cs="Times New Roman"/>
      <w:color w:val="000000"/>
      <w:kern w:val="0"/>
      <w:sz w:val="18"/>
      <w:szCs w:val="18"/>
    </w:rPr>
  </w:style>
  <w:style w:type="paragraph" w:customStyle="1" w:styleId="657">
    <w:name w:val="默认段落字体 Para Char"/>
    <w:basedOn w:val="1"/>
    <w:qFormat/>
    <w:uiPriority w:val="0"/>
    <w:pPr>
      <w:spacing w:line="240" w:lineRule="auto"/>
      <w:jc w:val="both"/>
    </w:pPr>
    <w:rPr>
      <w:rFonts w:ascii="Tahoma" w:hAnsi="Tahoma" w:cs="Times New Roman"/>
      <w:szCs w:val="20"/>
    </w:rPr>
  </w:style>
  <w:style w:type="paragraph" w:customStyle="1" w:styleId="658">
    <w:name w:val="2册标题3"/>
    <w:basedOn w:val="1"/>
    <w:next w:val="1"/>
    <w:qFormat/>
    <w:uiPriority w:val="0"/>
    <w:pPr>
      <w:spacing w:beforeLines="50" w:afterLines="50" w:line="300" w:lineRule="auto"/>
      <w:ind w:left="210" w:leftChars="100"/>
      <w:jc w:val="center"/>
      <w:outlineLvl w:val="2"/>
    </w:pPr>
    <w:rPr>
      <w:rFonts w:cs="Times New Roman"/>
      <w:b/>
      <w:sz w:val="30"/>
      <w:szCs w:val="20"/>
    </w:rPr>
  </w:style>
  <w:style w:type="paragraph" w:customStyle="1" w:styleId="659">
    <w:name w:val="正文 + 宋体"/>
    <w:basedOn w:val="70"/>
    <w:qFormat/>
    <w:uiPriority w:val="0"/>
    <w:pPr>
      <w:spacing w:after="120" w:line="480" w:lineRule="auto"/>
    </w:pPr>
    <w:rPr>
      <w:rFonts w:ascii="宋体" w:hAnsi="宋体" w:eastAsia="宋体"/>
      <w:color w:val="auto"/>
      <w:kern w:val="0"/>
      <w:sz w:val="24"/>
    </w:rPr>
  </w:style>
  <w:style w:type="paragraph" w:customStyle="1" w:styleId="660">
    <w:name w:val="无编号标题4"/>
    <w:next w:val="1"/>
    <w:qFormat/>
    <w:uiPriority w:val="0"/>
    <w:pPr>
      <w:jc w:val="center"/>
    </w:pPr>
    <w:rPr>
      <w:rFonts w:ascii="Arial" w:hAnsi="Arial" w:eastAsia="黑体" w:cs="Times New Roman"/>
      <w:kern w:val="2"/>
      <w:sz w:val="28"/>
      <w:szCs w:val="28"/>
      <w:lang w:val="en-US" w:eastAsia="zh-CN" w:bidi="ar-SA"/>
    </w:rPr>
  </w:style>
  <w:style w:type="character" w:customStyle="1" w:styleId="661">
    <w:name w:val="尾注文本 Char"/>
    <w:qFormat/>
    <w:uiPriority w:val="0"/>
    <w:rPr>
      <w:kern w:val="2"/>
      <w:sz w:val="21"/>
      <w:szCs w:val="24"/>
    </w:rPr>
  </w:style>
  <w:style w:type="paragraph" w:customStyle="1" w:styleId="662">
    <w:name w:val="标号"/>
    <w:basedOn w:val="1"/>
    <w:qFormat/>
    <w:uiPriority w:val="0"/>
    <w:pPr>
      <w:jc w:val="both"/>
    </w:pPr>
    <w:rPr>
      <w:rFonts w:cs="Times New Roman"/>
      <w:szCs w:val="20"/>
    </w:rPr>
  </w:style>
  <w:style w:type="paragraph" w:customStyle="1" w:styleId="663">
    <w:name w:val="图片居中"/>
    <w:basedOn w:val="1"/>
    <w:qFormat/>
    <w:uiPriority w:val="0"/>
    <w:pPr>
      <w:spacing w:line="240" w:lineRule="auto"/>
      <w:jc w:val="center"/>
    </w:pPr>
    <w:rPr>
      <w:rFonts w:ascii="Times New Roman" w:hAnsi="Times New Roman" w:cs="宋体"/>
      <w:sz w:val="21"/>
      <w:szCs w:val="20"/>
    </w:rPr>
  </w:style>
  <w:style w:type="paragraph" w:customStyle="1" w:styleId="664">
    <w:name w:val="列表编号1"/>
    <w:basedOn w:val="1"/>
    <w:qFormat/>
    <w:uiPriority w:val="0"/>
    <w:pPr>
      <w:spacing w:after="120" w:line="288" w:lineRule="auto"/>
      <w:ind w:left="780" w:hanging="420"/>
      <w:jc w:val="both"/>
    </w:pPr>
    <w:rPr>
      <w:rFonts w:ascii="Times New Roman" w:hAnsi="Times New Roman" w:eastAsia="幼圆" w:cs="Times New Roman"/>
      <w:szCs w:val="20"/>
    </w:rPr>
  </w:style>
  <w:style w:type="paragraph" w:customStyle="1" w:styleId="665">
    <w:name w:val="ÕýÎÄ 1"/>
    <w:basedOn w:val="1"/>
    <w:qFormat/>
    <w:uiPriority w:val="0"/>
    <w:pPr>
      <w:widowControl/>
      <w:overflowPunct w:val="0"/>
      <w:autoSpaceDE w:val="0"/>
      <w:autoSpaceDN w:val="0"/>
      <w:adjustRightInd w:val="0"/>
      <w:spacing w:before="80" w:after="80"/>
      <w:ind w:left="1417"/>
      <w:jc w:val="both"/>
      <w:textAlignment w:val="baseline"/>
    </w:pPr>
    <w:rPr>
      <w:rFonts w:ascii="Times New Roman" w:hAnsi="Times New Roman" w:cs="Times New Roman"/>
      <w:kern w:val="0"/>
      <w:sz w:val="21"/>
      <w:szCs w:val="20"/>
    </w:rPr>
  </w:style>
  <w:style w:type="paragraph" w:customStyle="1" w:styleId="666">
    <w:name w:val="正文段"/>
    <w:basedOn w:val="1"/>
    <w:qFormat/>
    <w:uiPriority w:val="0"/>
    <w:pPr>
      <w:widowControl/>
      <w:adjustRightInd w:val="0"/>
      <w:spacing w:after="240" w:line="360" w:lineRule="atLeast"/>
      <w:ind w:firstLine="454"/>
      <w:jc w:val="both"/>
      <w:textAlignment w:val="bottom"/>
    </w:pPr>
    <w:rPr>
      <w:rFonts w:hAnsi="Times New Roman" w:cs="Times New Roman"/>
      <w:kern w:val="0"/>
      <w:szCs w:val="20"/>
    </w:rPr>
  </w:style>
  <w:style w:type="paragraph" w:customStyle="1" w:styleId="667">
    <w:name w:val="默认段落字体 Para Char Char Char Char"/>
    <w:basedOn w:val="1"/>
    <w:qFormat/>
    <w:uiPriority w:val="0"/>
    <w:pPr>
      <w:spacing w:line="240" w:lineRule="auto"/>
      <w:jc w:val="both"/>
    </w:pPr>
    <w:rPr>
      <w:rFonts w:ascii="Times New Roman" w:hAnsi="Times New Roman" w:cs="Times New Roman"/>
      <w:sz w:val="21"/>
      <w:szCs w:val="24"/>
    </w:rPr>
  </w:style>
  <w:style w:type="paragraph" w:customStyle="1" w:styleId="668">
    <w:name w:val="_Style 165"/>
    <w:basedOn w:val="1"/>
    <w:qFormat/>
    <w:uiPriority w:val="0"/>
    <w:pPr>
      <w:spacing w:beforeLines="50" w:afterLines="50" w:line="240" w:lineRule="auto"/>
      <w:ind w:left="200" w:leftChars="200"/>
      <w:jc w:val="both"/>
    </w:pPr>
    <w:rPr>
      <w:rFonts w:ascii="Times New Roman" w:hAnsi="Times New Roman" w:cs="Times New Roman"/>
      <w:sz w:val="28"/>
      <w:szCs w:val="24"/>
    </w:rPr>
  </w:style>
  <w:style w:type="paragraph" w:customStyle="1" w:styleId="669">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pPr>
    <w:rPr>
      <w:rFonts w:ascii="Times New Roman" w:hAnsi="Times New Roman" w:cs="Times New Roman"/>
      <w:sz w:val="21"/>
      <w:szCs w:val="21"/>
    </w:rPr>
  </w:style>
  <w:style w:type="paragraph" w:customStyle="1" w:styleId="670">
    <w:name w:val="CD正文"/>
    <w:basedOn w:val="1"/>
    <w:link w:val="671"/>
    <w:qFormat/>
    <w:uiPriority w:val="0"/>
    <w:pPr>
      <w:ind w:firstLine="493"/>
      <w:jc w:val="both"/>
    </w:pPr>
    <w:rPr>
      <w:rFonts w:ascii="Times New Roman" w:hAnsi="Times New Roman" w:cs="Times New Roman"/>
      <w:sz w:val="30"/>
      <w:szCs w:val="28"/>
    </w:rPr>
  </w:style>
  <w:style w:type="character" w:customStyle="1" w:styleId="671">
    <w:name w:val="CD正文 Char"/>
    <w:link w:val="670"/>
    <w:qFormat/>
    <w:uiPriority w:val="0"/>
    <w:rPr>
      <w:kern w:val="2"/>
      <w:sz w:val="30"/>
      <w:szCs w:val="28"/>
    </w:rPr>
  </w:style>
  <w:style w:type="paragraph" w:customStyle="1" w:styleId="672">
    <w:name w:val="样式 样式 样式 四号 左 行距: 1.5 倍行距 左  1 字符 首行缩进:  2 字符 + 首行缩进:  2 字符 + 首行..."/>
    <w:basedOn w:val="1"/>
    <w:qFormat/>
    <w:uiPriority w:val="0"/>
    <w:pPr>
      <w:ind w:firstLine="200" w:firstLineChars="200"/>
    </w:pPr>
    <w:rPr>
      <w:rFonts w:ascii="Times New Roman" w:hAnsi="Times New Roman" w:cs="宋体"/>
      <w:sz w:val="28"/>
      <w:szCs w:val="20"/>
    </w:rPr>
  </w:style>
  <w:style w:type="paragraph" w:customStyle="1" w:styleId="673">
    <w:name w:val="样式 样式 样式 (符号) 宋体 四号 左 首行缩进:  2.5 字符 + 首行缩进:  2 字符 + 首行缩进:  2 字符"/>
    <w:basedOn w:val="1"/>
    <w:qFormat/>
    <w:uiPriority w:val="0"/>
    <w:pPr>
      <w:ind w:firstLine="200" w:firstLineChars="200"/>
    </w:pPr>
    <w:rPr>
      <w:rFonts w:ascii="Times New Roman" w:cs="Times New Roman"/>
      <w:sz w:val="28"/>
      <w:szCs w:val="20"/>
    </w:rPr>
  </w:style>
  <w:style w:type="character" w:customStyle="1" w:styleId="674">
    <w:name w:val="标书正文 Char"/>
    <w:link w:val="169"/>
    <w:qFormat/>
    <w:uiPriority w:val="0"/>
    <w:rPr>
      <w:rFonts w:eastAsia="仿宋_GB2312"/>
      <w:kern w:val="2"/>
      <w:sz w:val="28"/>
      <w:szCs w:val="24"/>
    </w:rPr>
  </w:style>
  <w:style w:type="paragraph" w:customStyle="1" w:styleId="675">
    <w:name w:val="0-ST-篇"/>
    <w:basedOn w:val="1"/>
    <w:next w:val="1"/>
    <w:qFormat/>
    <w:uiPriority w:val="0"/>
    <w:pPr>
      <w:spacing w:line="240" w:lineRule="auto"/>
      <w:jc w:val="center"/>
    </w:pPr>
    <w:rPr>
      <w:rFonts w:ascii="Calibri" w:hAnsi="Calibri" w:eastAsia="黑体" w:cs="Times New Roman"/>
      <w:sz w:val="32"/>
      <w:szCs w:val="21"/>
    </w:rPr>
  </w:style>
  <w:style w:type="paragraph" w:customStyle="1" w:styleId="676">
    <w:name w:val="10-ST-正文"/>
    <w:basedOn w:val="1"/>
    <w:qFormat/>
    <w:uiPriority w:val="0"/>
    <w:pPr>
      <w:adjustRightInd w:val="0"/>
      <w:snapToGrid w:val="0"/>
      <w:ind w:firstLine="200" w:firstLineChars="200"/>
      <w:jc w:val="both"/>
    </w:pPr>
    <w:rPr>
      <w:rFonts w:ascii="Times New Roman" w:hAnsi="Times New Roman" w:cs="Times New Roman"/>
      <w:szCs w:val="28"/>
    </w:rPr>
  </w:style>
  <w:style w:type="paragraph" w:customStyle="1" w:styleId="677">
    <w:name w:val="3-ST-小节"/>
    <w:basedOn w:val="6"/>
    <w:next w:val="676"/>
    <w:qFormat/>
    <w:uiPriority w:val="0"/>
    <w:pPr>
      <w:spacing w:before="0" w:beforeLines="50" w:after="120" w:line="240" w:lineRule="auto"/>
      <w:jc w:val="both"/>
    </w:pPr>
    <w:rPr>
      <w:rFonts w:ascii="Arial" w:hAnsi="Arial" w:eastAsia="楷体_GB2312" w:cs="Times New Roman"/>
      <w:bCs w:val="0"/>
    </w:rPr>
  </w:style>
  <w:style w:type="paragraph" w:customStyle="1" w:styleId="678">
    <w:name w:val="4-ST-点"/>
    <w:basedOn w:val="7"/>
    <w:qFormat/>
    <w:uiPriority w:val="0"/>
    <w:pPr>
      <w:adjustRightInd w:val="0"/>
      <w:snapToGrid w:val="0"/>
      <w:spacing w:beforeLines="30" w:afterLines="30" w:line="312" w:lineRule="auto"/>
      <w:jc w:val="both"/>
    </w:pPr>
    <w:rPr>
      <w:rFonts w:ascii="楷体_GB2312" w:hAnsi="Times New Roman" w:eastAsia="楷体_GB2312" w:cs="Times New Roman"/>
      <w:szCs w:val="28"/>
    </w:rPr>
  </w:style>
  <w:style w:type="paragraph" w:customStyle="1" w:styleId="679">
    <w:name w:val="2-ST-节"/>
    <w:basedOn w:val="5"/>
    <w:next w:val="676"/>
    <w:qFormat/>
    <w:uiPriority w:val="0"/>
    <w:pPr>
      <w:spacing w:before="160" w:after="160" w:line="240" w:lineRule="auto"/>
      <w:jc w:val="both"/>
    </w:pPr>
    <w:rPr>
      <w:rFonts w:ascii="Arial" w:hAnsi="Arial" w:eastAsia="楷体_GB2312" w:cs="Times New Roman"/>
      <w:bCs w:val="0"/>
    </w:rPr>
  </w:style>
  <w:style w:type="paragraph" w:customStyle="1" w:styleId="680">
    <w:name w:val="最终正文"/>
    <w:basedOn w:val="1"/>
    <w:qFormat/>
    <w:uiPriority w:val="0"/>
    <w:pPr>
      <w:ind w:firstLine="420"/>
      <w:jc w:val="both"/>
    </w:pPr>
    <w:rPr>
      <w:rFonts w:ascii="仿宋_GB2312" w:cs="Times New Roman"/>
      <w:caps/>
      <w:szCs w:val="24"/>
    </w:rPr>
  </w:style>
  <w:style w:type="paragraph" w:customStyle="1" w:styleId="681">
    <w:name w:val="mytext"/>
    <w:basedOn w:val="1"/>
    <w:link w:val="682"/>
    <w:qFormat/>
    <w:uiPriority w:val="0"/>
    <w:pPr>
      <w:spacing w:line="300" w:lineRule="auto"/>
      <w:ind w:firstLine="480" w:firstLineChars="200"/>
      <w:jc w:val="both"/>
    </w:pPr>
    <w:rPr>
      <w:rFonts w:ascii="Times New Roman" w:hAnsi="Times New Roman" w:cs="Times New Roman"/>
      <w:szCs w:val="20"/>
    </w:rPr>
  </w:style>
  <w:style w:type="character" w:customStyle="1" w:styleId="682">
    <w:name w:val="mytext Char"/>
    <w:link w:val="681"/>
    <w:qFormat/>
    <w:uiPriority w:val="0"/>
    <w:rPr>
      <w:kern w:val="2"/>
      <w:sz w:val="24"/>
    </w:rPr>
  </w:style>
  <w:style w:type="paragraph" w:customStyle="1" w:styleId="683">
    <w:name w:val="样式4"/>
    <w:basedOn w:val="5"/>
    <w:qFormat/>
    <w:uiPriority w:val="0"/>
    <w:pPr>
      <w:spacing w:before="120" w:after="0" w:line="360" w:lineRule="auto"/>
      <w:jc w:val="both"/>
    </w:pPr>
    <w:rPr>
      <w:rFonts w:ascii="黑体" w:hAnsi="黑体" w:eastAsia="黑体" w:cs="Times New Roman"/>
      <w:b w:val="0"/>
      <w:bCs w:val="0"/>
      <w:szCs w:val="30"/>
    </w:rPr>
  </w:style>
  <w:style w:type="paragraph" w:customStyle="1" w:styleId="684">
    <w:name w:val="标题 2 + Times New Roman 加粗 黑色 首行缩进:  2 字符 行距: 2 倍行距 + 段前..."/>
    <w:basedOn w:val="1"/>
    <w:next w:val="1"/>
    <w:qFormat/>
    <w:uiPriority w:val="0"/>
    <w:pPr>
      <w:adjustRightInd w:val="0"/>
      <w:snapToGrid w:val="0"/>
      <w:spacing w:beforeLines="150" w:afterLines="50"/>
      <w:jc w:val="both"/>
      <w:outlineLvl w:val="0"/>
    </w:pPr>
    <w:rPr>
      <w:rFonts w:ascii="Times New Roman" w:hAnsi="Times New Roman" w:eastAsia="黑体" w:cs="Times New Roman"/>
      <w:b/>
      <w:color w:val="000000"/>
      <w:kern w:val="0"/>
      <w:sz w:val="32"/>
      <w:szCs w:val="32"/>
    </w:rPr>
  </w:style>
  <w:style w:type="character" w:customStyle="1" w:styleId="685">
    <w:name w:val="HTML 预设格式 Char"/>
    <w:qFormat/>
    <w:uiPriority w:val="0"/>
    <w:rPr>
      <w:rFonts w:ascii="Courier New" w:hAnsi="Courier New" w:cs="Courier New"/>
      <w:kern w:val="2"/>
    </w:rPr>
  </w:style>
  <w:style w:type="paragraph" w:customStyle="1" w:styleId="686">
    <w:name w:val="Char Char1 Char Char Char Char Char Char Char Char"/>
    <w:basedOn w:val="1"/>
    <w:qFormat/>
    <w:uiPriority w:val="0"/>
    <w:pPr>
      <w:adjustRightInd w:val="0"/>
      <w:spacing w:after="160" w:line="240" w:lineRule="exact"/>
      <w:jc w:val="both"/>
    </w:pPr>
    <w:rPr>
      <w:rFonts w:ascii="Verdana" w:hAnsi="Verdana" w:cs="Times New Roman"/>
      <w:kern w:val="0"/>
      <w:sz w:val="20"/>
      <w:szCs w:val="20"/>
      <w:lang w:eastAsia="en-US"/>
    </w:rPr>
  </w:style>
  <w:style w:type="paragraph" w:customStyle="1" w:styleId="687">
    <w:name w:val="TOC 标题2"/>
    <w:basedOn w:val="3"/>
    <w:next w:val="1"/>
    <w:qFormat/>
    <w:uiPriority w:val="0"/>
    <w:pPr>
      <w:widowControl/>
      <w:spacing w:before="480" w:after="0" w:line="276" w:lineRule="auto"/>
      <w:jc w:val="left"/>
      <w:outlineLvl w:val="9"/>
    </w:pPr>
    <w:rPr>
      <w:rFonts w:ascii="Cambria" w:hAnsi="Cambria" w:eastAsia="宋体" w:cs="Times New Roman"/>
      <w:bCs w:val="0"/>
      <w:color w:val="365F91"/>
      <w:kern w:val="0"/>
      <w:sz w:val="28"/>
      <w:szCs w:val="28"/>
    </w:rPr>
  </w:style>
  <w:style w:type="paragraph" w:customStyle="1" w:styleId="688">
    <w:name w:val="样式 首行缩进:  2 字符"/>
    <w:basedOn w:val="1"/>
    <w:qFormat/>
    <w:uiPriority w:val="0"/>
    <w:pPr>
      <w:adjustRightInd w:val="0"/>
      <w:snapToGrid w:val="0"/>
      <w:ind w:left="538" w:leftChars="-71" w:right="480" w:hanging="737" w:hangingChars="307"/>
    </w:pPr>
    <w:rPr>
      <w:rFonts w:ascii="仿宋_GB2312" w:eastAsia="仿宋_GB2312" w:cs="宋体"/>
      <w:snapToGrid w:val="0"/>
      <w:color w:val="FF0000"/>
      <w:kern w:val="0"/>
      <w:szCs w:val="24"/>
    </w:rPr>
  </w:style>
  <w:style w:type="paragraph" w:customStyle="1" w:styleId="689">
    <w:name w:val="tabletext"/>
    <w:basedOn w:val="1"/>
    <w:qFormat/>
    <w:uiPriority w:val="0"/>
    <w:pPr>
      <w:widowControl/>
      <w:spacing w:before="100" w:beforeAutospacing="1" w:after="100" w:afterAutospacing="1" w:line="240" w:lineRule="auto"/>
    </w:pPr>
    <w:rPr>
      <w:rFonts w:cs="宋体"/>
      <w:kern w:val="0"/>
      <w:szCs w:val="24"/>
    </w:rPr>
  </w:style>
  <w:style w:type="paragraph" w:customStyle="1" w:styleId="69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1">
    <w:name w:val="汇视源正文 Char Char"/>
    <w:link w:val="692"/>
    <w:qFormat/>
    <w:uiPriority w:val="0"/>
    <w:rPr>
      <w:rFonts w:cs="宋体"/>
      <w:sz w:val="24"/>
    </w:rPr>
  </w:style>
  <w:style w:type="paragraph" w:customStyle="1" w:styleId="692">
    <w:name w:val="汇视源正文"/>
    <w:link w:val="691"/>
    <w:qFormat/>
    <w:uiPriority w:val="0"/>
    <w:pPr>
      <w:widowControl w:val="0"/>
      <w:spacing w:beforeLines="50" w:line="360" w:lineRule="auto"/>
      <w:ind w:firstLine="480" w:firstLineChars="200"/>
      <w:jc w:val="both"/>
    </w:pPr>
    <w:rPr>
      <w:rFonts w:ascii="Times New Roman" w:hAnsi="Times New Roman" w:eastAsia="宋体" w:cs="宋体"/>
      <w:sz w:val="24"/>
      <w:lang w:val="en-US" w:eastAsia="zh-CN" w:bidi="ar-SA"/>
    </w:rPr>
  </w:style>
  <w:style w:type="paragraph" w:customStyle="1" w:styleId="69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自由格式"/>
    <w:qFormat/>
    <w:uiPriority w:val="0"/>
    <w:rPr>
      <w:rFonts w:ascii="Helvetica" w:hAnsi="Helvetica" w:eastAsia="ヒラギノ角ゴ Pro W3" w:cs="Times New Roman"/>
      <w:color w:val="000000"/>
      <w:sz w:val="24"/>
      <w:lang w:val="en-US" w:eastAsia="zh-CN" w:bidi="ar-SA"/>
    </w:rPr>
  </w:style>
  <w:style w:type="character" w:customStyle="1" w:styleId="695">
    <w:name w:val="param-name"/>
    <w:qFormat/>
    <w:uiPriority w:val="0"/>
  </w:style>
  <w:style w:type="paragraph" w:customStyle="1" w:styleId="696">
    <w:name w:val="正文缩进2字 Char Char Char"/>
    <w:qFormat/>
    <w:uiPriority w:val="0"/>
    <w:pPr>
      <w:snapToGrid w:val="0"/>
      <w:spacing w:beforeLines="50" w:line="360" w:lineRule="auto"/>
      <w:ind w:firstLine="200" w:firstLineChars="200"/>
    </w:pPr>
    <w:rPr>
      <w:rFonts w:ascii="Times New Roman" w:hAnsi="Times New Roman" w:eastAsia="宋体" w:cs="Times New Roman"/>
      <w:lang w:val="en-US" w:eastAsia="zh-CN" w:bidi="ar-SA"/>
    </w:rPr>
  </w:style>
  <w:style w:type="character" w:customStyle="1" w:styleId="697">
    <w:name w:val="fr2"/>
    <w:basedOn w:val="83"/>
    <w:qFormat/>
    <w:uiPriority w:val="0"/>
  </w:style>
  <w:style w:type="character" w:customStyle="1" w:styleId="698">
    <w:name w:val="info1"/>
    <w:qFormat/>
    <w:uiPriority w:val="0"/>
    <w:rPr>
      <w:color w:val="555555"/>
    </w:rPr>
  </w:style>
  <w:style w:type="character" w:customStyle="1" w:styleId="699">
    <w:name w:val="fr1"/>
    <w:basedOn w:val="83"/>
    <w:qFormat/>
    <w:uiPriority w:val="0"/>
  </w:style>
  <w:style w:type="character" w:customStyle="1" w:styleId="700">
    <w:name w:val="fr"/>
    <w:basedOn w:val="83"/>
    <w:qFormat/>
    <w:uiPriority w:val="0"/>
  </w:style>
  <w:style w:type="character" w:customStyle="1" w:styleId="701">
    <w:name w:val="info"/>
    <w:qFormat/>
    <w:uiPriority w:val="0"/>
    <w:rPr>
      <w:color w:val="555555"/>
    </w:rPr>
  </w:style>
  <w:style w:type="paragraph" w:customStyle="1" w:styleId="70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3">
    <w:name w:val="纯文本_0"/>
    <w:basedOn w:val="702"/>
    <w:qFormat/>
    <w:uiPriority w:val="0"/>
    <w:pPr>
      <w:autoSpaceDE w:val="0"/>
      <w:autoSpaceDN w:val="0"/>
      <w:adjustRightInd w:val="0"/>
      <w:spacing w:line="460" w:lineRule="exact"/>
      <w:ind w:firstLine="420"/>
    </w:pPr>
    <w:rPr>
      <w:rFonts w:ascii="宋体" w:hAnsi="Courier New"/>
      <w:sz w:val="28"/>
      <w:szCs w:val="20"/>
    </w:rPr>
  </w:style>
  <w:style w:type="paragraph" w:customStyle="1" w:styleId="704">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4"/>
    </w:rPr>
  </w:style>
  <w:style w:type="paragraph" w:customStyle="1" w:styleId="705">
    <w:name w:val="正文文本缩进_0"/>
    <w:basedOn w:val="702"/>
    <w:qFormat/>
    <w:uiPriority w:val="0"/>
    <w:pPr>
      <w:ind w:firstLine="420" w:firstLineChars="200"/>
    </w:pPr>
    <w:rPr>
      <w:rFonts w:ascii="Times New Roman" w:hAnsi="Times New Roman"/>
      <w:szCs w:val="24"/>
    </w:rPr>
  </w:style>
  <w:style w:type="paragraph" w:customStyle="1" w:styleId="706">
    <w:name w:val="正文文本缩进 3_0"/>
    <w:basedOn w:val="702"/>
    <w:qFormat/>
    <w:uiPriority w:val="0"/>
    <w:pPr>
      <w:adjustRightInd w:val="0"/>
      <w:spacing w:line="360" w:lineRule="auto"/>
      <w:ind w:firstLine="480" w:firstLineChars="200"/>
    </w:pPr>
    <w:rPr>
      <w:rFonts w:ascii="宋体" w:hAnsi="宋体"/>
      <w:sz w:val="24"/>
      <w:szCs w:val="20"/>
    </w:rPr>
  </w:style>
  <w:style w:type="character" w:customStyle="1" w:styleId="707">
    <w:name w:val="正文文本 3 Char"/>
    <w:qFormat/>
    <w:uiPriority w:val="0"/>
    <w:rPr>
      <w:color w:val="FF00FF"/>
      <w:kern w:val="2"/>
      <w:sz w:val="21"/>
      <w:szCs w:val="24"/>
    </w:rPr>
  </w:style>
  <w:style w:type="character" w:customStyle="1" w:styleId="708">
    <w:name w:val="未处理的提及11"/>
    <w:qFormat/>
    <w:uiPriority w:val="0"/>
    <w:rPr>
      <w:color w:val="808080"/>
      <w:shd w:val="clear" w:color="auto" w:fill="E6E6E6"/>
    </w:rPr>
  </w:style>
  <w:style w:type="paragraph" w:customStyle="1" w:styleId="709">
    <w:name w:val="普通(网站)3"/>
    <w:basedOn w:val="1"/>
    <w:qFormat/>
    <w:uiPriority w:val="0"/>
    <w:pPr>
      <w:widowControl/>
      <w:spacing w:before="100" w:beforeAutospacing="1" w:after="100" w:afterAutospacing="1" w:line="240" w:lineRule="auto"/>
    </w:pPr>
    <w:rPr>
      <w:rFonts w:cs="宋体"/>
      <w:kern w:val="0"/>
      <w:szCs w:val="24"/>
    </w:rPr>
  </w:style>
  <w:style w:type="character" w:customStyle="1" w:styleId="710">
    <w:name w:val="未处理的提及31"/>
    <w:qFormat/>
    <w:uiPriority w:val="0"/>
    <w:rPr>
      <w:color w:val="605E5C"/>
      <w:shd w:val="clear" w:color="auto" w:fill="E1DFDD"/>
    </w:rPr>
  </w:style>
  <w:style w:type="character" w:customStyle="1" w:styleId="711">
    <w:name w:val="未处理的提及4"/>
    <w:qFormat/>
    <w:uiPriority w:val="0"/>
    <w:rPr>
      <w:color w:val="605E5C"/>
      <w:shd w:val="clear" w:color="auto" w:fill="E1DFDD"/>
    </w:rPr>
  </w:style>
  <w:style w:type="character" w:customStyle="1" w:styleId="712">
    <w:name w:val="No Spacing Char Char"/>
    <w:link w:val="95"/>
    <w:qFormat/>
    <w:uiPriority w:val="0"/>
    <w:rPr>
      <w:rFonts w:ascii="宋体" w:hAnsi="宋体" w:cs="黑体"/>
      <w:kern w:val="2"/>
      <w:sz w:val="24"/>
      <w:szCs w:val="22"/>
    </w:rPr>
  </w:style>
  <w:style w:type="character" w:customStyle="1" w:styleId="713">
    <w:name w:val="文档正文 Char Char"/>
    <w:qFormat/>
    <w:uiPriority w:val="0"/>
    <w:rPr>
      <w:rFonts w:ascii="仿宋_GB2312" w:eastAsia="仿宋_GB2312"/>
      <w:sz w:val="32"/>
      <w:szCs w:val="32"/>
      <w:lang w:val="en-US" w:eastAsia="zh-CN" w:bidi="ar-SA"/>
    </w:rPr>
  </w:style>
  <w:style w:type="paragraph" w:customStyle="1" w:styleId="714">
    <w:name w:val="彩色列表 - 强调文字颜色 11"/>
    <w:basedOn w:val="1"/>
    <w:qFormat/>
    <w:uiPriority w:val="0"/>
    <w:pPr>
      <w:ind w:firstLine="420" w:firstLineChars="200"/>
      <w:jc w:val="both"/>
    </w:pPr>
    <w:rPr>
      <w:rFonts w:ascii="Times New Roman" w:hAnsi="Times New Roman" w:cs="Times New Roman"/>
      <w:szCs w:val="20"/>
    </w:rPr>
  </w:style>
  <w:style w:type="paragraph" w:customStyle="1" w:styleId="715">
    <w:name w:val="标题 21"/>
    <w:basedOn w:val="1"/>
    <w:next w:val="1"/>
    <w:qFormat/>
    <w:uiPriority w:val="0"/>
    <w:pPr>
      <w:keepNext/>
      <w:keepLines/>
      <w:widowControl/>
      <w:spacing w:before="200" w:line="240" w:lineRule="auto"/>
      <w:outlineLvl w:val="1"/>
    </w:pPr>
    <w:rPr>
      <w:rFonts w:ascii="Times New Roman" w:hAnsi="Times New Roman" w:cs="Times New Roman"/>
      <w:b/>
      <w:kern w:val="0"/>
      <w:sz w:val="28"/>
      <w:szCs w:val="28"/>
    </w:rPr>
  </w:style>
  <w:style w:type="paragraph" w:customStyle="1" w:styleId="716">
    <w:name w:val="reader-word-layer"/>
    <w:basedOn w:val="1"/>
    <w:qFormat/>
    <w:uiPriority w:val="0"/>
    <w:pPr>
      <w:widowControl/>
      <w:spacing w:before="100" w:beforeAutospacing="1" w:after="100" w:afterAutospacing="1" w:line="240" w:lineRule="auto"/>
    </w:pPr>
    <w:rPr>
      <w:rFonts w:cs="宋体"/>
      <w:kern w:val="0"/>
      <w:szCs w:val="24"/>
    </w:rPr>
  </w:style>
  <w:style w:type="paragraph" w:customStyle="1" w:styleId="717">
    <w:name w:val="HA标题4"/>
    <w:basedOn w:val="6"/>
    <w:next w:val="1"/>
    <w:qFormat/>
    <w:uiPriority w:val="0"/>
    <w:pPr>
      <w:numPr>
        <w:ilvl w:val="3"/>
        <w:numId w:val="9"/>
      </w:numPr>
      <w:spacing w:before="0" w:after="0" w:line="360" w:lineRule="auto"/>
      <w:jc w:val="both"/>
    </w:pPr>
    <w:rPr>
      <w:rFonts w:ascii="黑体" w:hAnsi="黑体" w:eastAsia="黑体" w:cs="Times New Roman"/>
      <w:b w:val="0"/>
      <w:bCs w:val="0"/>
      <w:sz w:val="24"/>
      <w:szCs w:val="20"/>
    </w:rPr>
  </w:style>
  <w:style w:type="paragraph" w:customStyle="1" w:styleId="718">
    <w:name w:val="标题1_btlims"/>
    <w:basedOn w:val="1"/>
    <w:next w:val="1"/>
    <w:qFormat/>
    <w:uiPriority w:val="0"/>
    <w:pPr>
      <w:widowControl/>
      <w:spacing w:after="200" w:line="276" w:lineRule="auto"/>
    </w:pPr>
    <w:rPr>
      <w:rFonts w:ascii="楷体_GB2312" w:hAnsi="Calibri" w:eastAsia="楷体_GB2312" w:cs="Times New Roman"/>
      <w:kern w:val="0"/>
      <w:sz w:val="36"/>
    </w:rPr>
  </w:style>
  <w:style w:type="paragraph" w:customStyle="1" w:styleId="719">
    <w:name w:val="_Style 4"/>
    <w:basedOn w:val="1"/>
    <w:qFormat/>
    <w:uiPriority w:val="0"/>
    <w:pPr>
      <w:spacing w:line="240" w:lineRule="auto"/>
      <w:ind w:firstLine="420" w:firstLineChars="200"/>
      <w:jc w:val="both"/>
    </w:pPr>
    <w:rPr>
      <w:rFonts w:ascii="Calibri" w:hAnsi="Calibri" w:cs="Times New Roman"/>
      <w:sz w:val="21"/>
      <w:szCs w:val="20"/>
    </w:rPr>
  </w:style>
  <w:style w:type="paragraph" w:customStyle="1" w:styleId="720">
    <w:name w:val="1 Char Char Char Char"/>
    <w:basedOn w:val="1"/>
    <w:qFormat/>
    <w:uiPriority w:val="0"/>
    <w:pPr>
      <w:spacing w:line="240" w:lineRule="auto"/>
      <w:jc w:val="both"/>
    </w:pPr>
    <w:rPr>
      <w:rFonts w:ascii="Tahoma" w:hAnsi="Tahoma" w:cs="Tahoma"/>
      <w:szCs w:val="24"/>
    </w:rPr>
  </w:style>
  <w:style w:type="paragraph" w:customStyle="1" w:styleId="721">
    <w:name w:val="HA标题2"/>
    <w:basedOn w:val="4"/>
    <w:next w:val="1"/>
    <w:qFormat/>
    <w:uiPriority w:val="0"/>
    <w:pPr>
      <w:numPr>
        <w:ilvl w:val="1"/>
        <w:numId w:val="9"/>
      </w:numPr>
      <w:spacing w:before="0" w:after="0" w:line="360" w:lineRule="auto"/>
      <w:jc w:val="both"/>
    </w:pPr>
    <w:rPr>
      <w:rFonts w:ascii="黑体" w:hAnsi="Times New Roman" w:eastAsia="黑体" w:cs="Times New Roman"/>
      <w:b w:val="0"/>
      <w:bCs w:val="0"/>
      <w:kern w:val="44"/>
      <w:sz w:val="30"/>
      <w:szCs w:val="20"/>
    </w:rPr>
  </w:style>
  <w:style w:type="paragraph" w:customStyle="1" w:styleId="722">
    <w:name w:val="Char3 Char Char Char"/>
    <w:basedOn w:val="1"/>
    <w:qFormat/>
    <w:uiPriority w:val="0"/>
    <w:pPr>
      <w:widowControl/>
      <w:snapToGrid w:val="0"/>
      <w:spacing w:before="120" w:after="160"/>
      <w:ind w:right="-360"/>
    </w:pPr>
    <w:rPr>
      <w:rFonts w:ascii="Times New Roman" w:hAnsi="Times New Roman" w:cs="Times New Roman"/>
      <w:sz w:val="21"/>
      <w:szCs w:val="24"/>
    </w:rPr>
  </w:style>
  <w:style w:type="paragraph" w:customStyle="1" w:styleId="723">
    <w:name w:val="100317_IP"/>
    <w:basedOn w:val="3"/>
    <w:qFormat/>
    <w:uiPriority w:val="0"/>
    <w:pPr>
      <w:widowControl/>
      <w:jc w:val="left"/>
    </w:pPr>
    <w:rPr>
      <w:rFonts w:ascii="楷体_GB2312" w:hAnsi="Calibri" w:eastAsia="楷体_GB2312" w:cs="Times New Roman"/>
      <w:bCs w:val="0"/>
      <w:sz w:val="36"/>
    </w:rPr>
  </w:style>
  <w:style w:type="paragraph" w:customStyle="1" w:styleId="724">
    <w:name w:val="@正文文本首行缩进 Alt＋w"/>
    <w:basedOn w:val="1"/>
    <w:qFormat/>
    <w:uiPriority w:val="0"/>
    <w:pPr>
      <w:spacing w:beforeLines="50" w:afterLines="50"/>
      <w:ind w:firstLine="482"/>
      <w:jc w:val="both"/>
      <w:textAlignment w:val="baseline"/>
    </w:pPr>
    <w:rPr>
      <w:rFonts w:ascii="Times New Roman" w:hAnsi="Times New Roman" w:cs="Times New Roman"/>
      <w:b/>
      <w:color w:val="000000"/>
      <w:szCs w:val="24"/>
    </w:rPr>
  </w:style>
  <w:style w:type="paragraph" w:customStyle="1" w:styleId="725">
    <w:name w:val="HA标题3"/>
    <w:basedOn w:val="5"/>
    <w:next w:val="1"/>
    <w:qFormat/>
    <w:uiPriority w:val="0"/>
    <w:pPr>
      <w:numPr>
        <w:ilvl w:val="2"/>
        <w:numId w:val="9"/>
      </w:numPr>
      <w:spacing w:before="0" w:after="0" w:line="360" w:lineRule="auto"/>
      <w:jc w:val="both"/>
    </w:pPr>
    <w:rPr>
      <w:rFonts w:ascii="黑体" w:hAnsi="Times New Roman" w:eastAsia="黑体" w:cs="Times New Roman"/>
      <w:b w:val="0"/>
      <w:bCs w:val="0"/>
      <w:kern w:val="44"/>
      <w:sz w:val="28"/>
      <w:szCs w:val="20"/>
    </w:rPr>
  </w:style>
  <w:style w:type="paragraph" w:customStyle="1" w:styleId="726">
    <w:name w:val="标题11"/>
    <w:basedOn w:val="1"/>
    <w:qFormat/>
    <w:uiPriority w:val="0"/>
    <w:pPr>
      <w:widowControl/>
      <w:spacing w:before="120" w:after="160" w:line="240" w:lineRule="exact"/>
      <w:ind w:left="210" w:leftChars="100" w:right="210" w:rightChars="100"/>
    </w:pPr>
    <w:rPr>
      <w:rFonts w:ascii="Verdana" w:hAnsi="Verdana" w:cs="Times New Roman"/>
      <w:kern w:val="0"/>
      <w:sz w:val="40"/>
      <w:szCs w:val="40"/>
    </w:rPr>
  </w:style>
  <w:style w:type="table" w:customStyle="1" w:styleId="727">
    <w:name w:val="网格型2"/>
    <w:basedOn w:val="8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8">
    <w:name w:val="批注文字 Char"/>
    <w:qFormat/>
    <w:uiPriority w:val="0"/>
    <w:rPr>
      <w:kern w:val="2"/>
      <w:sz w:val="21"/>
      <w:szCs w:val="24"/>
    </w:rPr>
  </w:style>
  <w:style w:type="character" w:customStyle="1" w:styleId="729">
    <w:name w:val="页脚 Char"/>
    <w:qFormat/>
    <w:uiPriority w:val="0"/>
    <w:rPr>
      <w:kern w:val="2"/>
      <w:sz w:val="18"/>
      <w:szCs w:val="18"/>
    </w:rPr>
  </w:style>
  <w:style w:type="character" w:customStyle="1" w:styleId="730">
    <w:name w:val="gothic"/>
    <w:qFormat/>
    <w:uiPriority w:val="0"/>
    <w:rPr>
      <w:rFonts w:ascii="Arial" w:hAnsi="Arial"/>
      <w:color w:val="333333"/>
      <w:sz w:val="22"/>
    </w:rPr>
  </w:style>
  <w:style w:type="paragraph" w:customStyle="1" w:styleId="731">
    <w:name w:val="cright1"/>
    <w:basedOn w:val="1"/>
    <w:qFormat/>
    <w:uiPriority w:val="0"/>
    <w:pPr>
      <w:widowControl/>
      <w:wordWrap w:val="0"/>
      <w:spacing w:line="240" w:lineRule="auto"/>
    </w:pPr>
    <w:rPr>
      <w:rFonts w:cs="Times New Roman"/>
      <w:color w:val="383838"/>
      <w:kern w:val="0"/>
      <w:szCs w:val="20"/>
    </w:rPr>
  </w:style>
  <w:style w:type="paragraph" w:customStyle="1" w:styleId="732">
    <w:name w:val="cleft"/>
    <w:basedOn w:val="1"/>
    <w:qFormat/>
    <w:uiPriority w:val="0"/>
    <w:pPr>
      <w:widowControl/>
      <w:spacing w:line="240" w:lineRule="auto"/>
    </w:pPr>
    <w:rPr>
      <w:rFonts w:cs="Times New Roman"/>
      <w:b/>
      <w:kern w:val="0"/>
      <w:szCs w:val="20"/>
    </w:rPr>
  </w:style>
  <w:style w:type="paragraph" w:customStyle="1" w:styleId="733">
    <w:name w:val="_Style 6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4">
    <w:name w:val="Char Char Char Char Char Char Char Char Char Char Char Char Char Char Char Char11"/>
    <w:basedOn w:val="1"/>
    <w:qFormat/>
    <w:uiPriority w:val="0"/>
    <w:pPr>
      <w:spacing w:line="240" w:lineRule="auto"/>
      <w:jc w:val="both"/>
    </w:pPr>
    <w:rPr>
      <w:rFonts w:ascii="Tahoma" w:hAnsi="Tahoma" w:cs="Times New Roman"/>
      <w:szCs w:val="20"/>
    </w:rPr>
  </w:style>
  <w:style w:type="character" w:customStyle="1" w:styleId="735">
    <w:name w:val="标题2"/>
    <w:qFormat/>
    <w:uiPriority w:val="0"/>
    <w:rPr>
      <w:rFonts w:cs="Times New Roman"/>
    </w:rPr>
  </w:style>
  <w:style w:type="character" w:customStyle="1" w:styleId="736">
    <w:name w:val="ca-41"/>
    <w:qFormat/>
    <w:uiPriority w:val="0"/>
    <w:rPr>
      <w:rFonts w:ascii="仿宋_GB2312" w:eastAsia="仿宋_GB2312" w:cs="Times New Roman"/>
      <w:sz w:val="30"/>
      <w:szCs w:val="30"/>
    </w:rPr>
  </w:style>
  <w:style w:type="paragraph" w:customStyle="1" w:styleId="737">
    <w:name w:val="tx1"/>
    <w:basedOn w:val="1"/>
    <w:qFormat/>
    <w:uiPriority w:val="0"/>
    <w:pPr>
      <w:widowControl/>
      <w:spacing w:after="120" w:line="240" w:lineRule="auto"/>
      <w:ind w:left="274"/>
    </w:pPr>
    <w:rPr>
      <w:rFonts w:ascii="Arial" w:hAnsi="Arial" w:cs="Times New Roman"/>
      <w:kern w:val="0"/>
      <w:sz w:val="22"/>
      <w:szCs w:val="20"/>
      <w:lang w:eastAsia="en-US"/>
    </w:rPr>
  </w:style>
  <w:style w:type="paragraph" w:customStyle="1" w:styleId="738">
    <w:name w:val="正文4"/>
    <w:basedOn w:val="1"/>
    <w:qFormat/>
    <w:uiPriority w:val="0"/>
    <w:pPr>
      <w:spacing w:line="240" w:lineRule="auto"/>
      <w:jc w:val="center"/>
    </w:pPr>
    <w:rPr>
      <w:rFonts w:hAnsi="Times New Roman" w:cs="Times New Roman"/>
      <w:sz w:val="28"/>
      <w:szCs w:val="20"/>
    </w:rPr>
  </w:style>
  <w:style w:type="paragraph" w:customStyle="1" w:styleId="739">
    <w:name w:val="样式8"/>
    <w:basedOn w:val="1"/>
    <w:qFormat/>
    <w:uiPriority w:val="0"/>
    <w:pPr>
      <w:spacing w:beforeLines="20" w:line="240" w:lineRule="auto"/>
      <w:ind w:firstLine="425"/>
      <w:jc w:val="both"/>
    </w:pPr>
    <w:rPr>
      <w:rFonts w:ascii="Times New Roman" w:hAnsi="Times New Roman" w:cs="Times New Roman"/>
      <w:szCs w:val="24"/>
    </w:rPr>
  </w:style>
  <w:style w:type="paragraph" w:customStyle="1" w:styleId="740">
    <w:name w:val="表头"/>
    <w:qFormat/>
    <w:uiPriority w:val="0"/>
    <w:pPr>
      <w:spacing w:line="360" w:lineRule="auto"/>
      <w:ind w:firstLine="480"/>
      <w:jc w:val="both"/>
    </w:pPr>
    <w:rPr>
      <w:rFonts w:ascii="宋体" w:hAnsi="宋体" w:eastAsia="宋体" w:cs="Times New Roman"/>
      <w:sz w:val="24"/>
      <w:szCs w:val="24"/>
      <w:lang w:val="en-US" w:eastAsia="zh-CN" w:bidi="ar-SA"/>
    </w:rPr>
  </w:style>
  <w:style w:type="paragraph" w:customStyle="1" w:styleId="741">
    <w:name w:val="样式3"/>
    <w:basedOn w:val="1"/>
    <w:qFormat/>
    <w:uiPriority w:val="0"/>
    <w:pPr>
      <w:spacing w:line="240" w:lineRule="auto"/>
      <w:ind w:firstLine="425"/>
      <w:jc w:val="both"/>
    </w:pPr>
    <w:rPr>
      <w:rFonts w:ascii="Times New Roman" w:hAnsi="Times New Roman" w:cs="Times New Roman"/>
      <w:szCs w:val="24"/>
    </w:rPr>
  </w:style>
  <w:style w:type="paragraph" w:customStyle="1" w:styleId="742">
    <w:name w:val="样式9"/>
    <w:basedOn w:val="1"/>
    <w:qFormat/>
    <w:uiPriority w:val="0"/>
    <w:pPr>
      <w:spacing w:line="240" w:lineRule="auto"/>
      <w:ind w:firstLine="425"/>
      <w:jc w:val="both"/>
    </w:pPr>
    <w:rPr>
      <w:rFonts w:ascii="Times New Roman" w:hAnsi="Times New Roman" w:cs="Times New Roman"/>
      <w:szCs w:val="24"/>
    </w:rPr>
  </w:style>
  <w:style w:type="paragraph" w:customStyle="1" w:styleId="743">
    <w:name w:val="test"/>
    <w:basedOn w:val="1"/>
    <w:qFormat/>
    <w:uiPriority w:val="0"/>
    <w:pPr>
      <w:snapToGrid w:val="0"/>
      <w:spacing w:line="300" w:lineRule="auto"/>
      <w:jc w:val="both"/>
    </w:pPr>
    <w:rPr>
      <w:rFonts w:ascii="Times New Roman" w:hAnsi="Times New Roman" w:cs="Times New Roman"/>
      <w:sz w:val="21"/>
      <w:szCs w:val="20"/>
    </w:rPr>
  </w:style>
  <w:style w:type="character" w:customStyle="1" w:styleId="744">
    <w:name w:val="font31"/>
    <w:qFormat/>
    <w:uiPriority w:val="0"/>
    <w:rPr>
      <w:rFonts w:ascii="宋体" w:hAnsi="宋体" w:eastAsia="宋体"/>
      <w:b/>
      <w:color w:val="000000"/>
      <w:sz w:val="20"/>
      <w:u w:val="none"/>
    </w:rPr>
  </w:style>
  <w:style w:type="character" w:customStyle="1" w:styleId="745">
    <w:name w:val="批注框文本 Char"/>
    <w:qFormat/>
    <w:locked/>
    <w:uiPriority w:val="0"/>
    <w:rPr>
      <w:kern w:val="2"/>
      <w:sz w:val="18"/>
    </w:rPr>
  </w:style>
  <w:style w:type="paragraph" w:customStyle="1" w:styleId="746">
    <w:name w:val="招标正文"/>
    <w:basedOn w:val="1"/>
    <w:qFormat/>
    <w:uiPriority w:val="0"/>
    <w:pPr>
      <w:ind w:firstLine="480" w:firstLineChars="200"/>
      <w:jc w:val="both"/>
    </w:pPr>
    <w:rPr>
      <w:rFonts w:ascii="Calibri" w:hAnsi="Calibri" w:eastAsia="仿宋" w:cs="Times New Roman"/>
      <w:szCs w:val="24"/>
    </w:rPr>
  </w:style>
  <w:style w:type="paragraph" w:customStyle="1" w:styleId="747">
    <w:name w:val="列出段落3"/>
    <w:basedOn w:val="1"/>
    <w:qFormat/>
    <w:uiPriority w:val="0"/>
    <w:pPr>
      <w:spacing w:line="240" w:lineRule="auto"/>
      <w:ind w:firstLine="420" w:firstLineChars="200"/>
      <w:jc w:val="both"/>
    </w:pPr>
    <w:rPr>
      <w:rFonts w:ascii="Times New Roman" w:hAnsi="Times New Roman" w:cs="Times New Roman"/>
      <w:sz w:val="21"/>
      <w:szCs w:val="20"/>
    </w:rPr>
  </w:style>
  <w:style w:type="paragraph" w:customStyle="1" w:styleId="748">
    <w:name w:val="font2"/>
    <w:basedOn w:val="1"/>
    <w:qFormat/>
    <w:uiPriority w:val="0"/>
    <w:pPr>
      <w:widowControl/>
      <w:spacing w:before="100" w:beforeAutospacing="1" w:after="100" w:afterAutospacing="1" w:line="240" w:lineRule="auto"/>
    </w:pPr>
    <w:rPr>
      <w:rFonts w:cs="宋体"/>
      <w:color w:val="000000"/>
      <w:kern w:val="0"/>
      <w:sz w:val="22"/>
    </w:rPr>
  </w:style>
  <w:style w:type="paragraph" w:customStyle="1" w:styleId="749">
    <w:name w:val="font3"/>
    <w:basedOn w:val="1"/>
    <w:qFormat/>
    <w:uiPriority w:val="0"/>
    <w:pPr>
      <w:widowControl/>
      <w:spacing w:before="100" w:beforeAutospacing="1" w:after="100" w:afterAutospacing="1" w:line="240" w:lineRule="auto"/>
    </w:pPr>
    <w:rPr>
      <w:rFonts w:cs="宋体"/>
      <w:color w:val="000000"/>
      <w:kern w:val="0"/>
      <w:sz w:val="22"/>
    </w:rPr>
  </w:style>
  <w:style w:type="paragraph" w:customStyle="1" w:styleId="750">
    <w:name w:val="font4"/>
    <w:basedOn w:val="1"/>
    <w:qFormat/>
    <w:uiPriority w:val="0"/>
    <w:pPr>
      <w:widowControl/>
      <w:spacing w:before="100" w:beforeAutospacing="1" w:after="100" w:afterAutospacing="1" w:line="240" w:lineRule="auto"/>
    </w:pPr>
    <w:rPr>
      <w:rFonts w:ascii="Tahoma" w:hAnsi="Tahoma" w:cs="Tahoma"/>
      <w:color w:val="000000"/>
      <w:kern w:val="0"/>
      <w:sz w:val="22"/>
    </w:rPr>
  </w:style>
  <w:style w:type="paragraph" w:customStyle="1" w:styleId="751">
    <w:name w:val="et1"/>
    <w:basedOn w:val="1"/>
    <w:qFormat/>
    <w:uiPriority w:val="0"/>
    <w:pPr>
      <w:widowControl/>
      <w:spacing w:before="100" w:beforeAutospacing="1" w:after="100" w:afterAutospacing="1" w:line="240" w:lineRule="auto"/>
      <w:textAlignment w:val="center"/>
    </w:pPr>
    <w:rPr>
      <w:rFonts w:cs="宋体"/>
      <w:kern w:val="0"/>
      <w:szCs w:val="24"/>
    </w:rPr>
  </w:style>
  <w:style w:type="paragraph" w:customStyle="1" w:styleId="752">
    <w:name w:val="et2"/>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3">
    <w:name w:val="et3"/>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4">
    <w:name w:val="et4"/>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5">
    <w:name w:val="et5"/>
    <w:basedOn w:val="1"/>
    <w:qFormat/>
    <w:uiPriority w:val="0"/>
    <w:pPr>
      <w:widowControl/>
      <w:spacing w:before="100" w:beforeAutospacing="1" w:after="100" w:afterAutospacing="1" w:line="240" w:lineRule="auto"/>
      <w:jc w:val="center"/>
      <w:textAlignment w:val="center"/>
    </w:pPr>
    <w:rPr>
      <w:rFonts w:cs="宋体"/>
      <w:kern w:val="0"/>
      <w:sz w:val="22"/>
    </w:rPr>
  </w:style>
  <w:style w:type="paragraph" w:customStyle="1" w:styleId="756">
    <w:name w:val="et6"/>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7">
    <w:name w:val="et7"/>
    <w:basedOn w:val="1"/>
    <w:qFormat/>
    <w:uiPriority w:val="0"/>
    <w:pPr>
      <w:widowControl/>
      <w:spacing w:before="100" w:beforeAutospacing="1" w:after="100" w:afterAutospacing="1" w:line="240" w:lineRule="auto"/>
      <w:textAlignment w:val="center"/>
    </w:pPr>
    <w:rPr>
      <w:rFonts w:cs="宋体"/>
      <w:kern w:val="0"/>
      <w:sz w:val="22"/>
    </w:rPr>
  </w:style>
  <w:style w:type="paragraph" w:customStyle="1" w:styleId="758">
    <w:name w:val="et8"/>
    <w:basedOn w:val="1"/>
    <w:qFormat/>
    <w:uiPriority w:val="0"/>
    <w:pPr>
      <w:widowControl/>
      <w:spacing w:before="100" w:beforeAutospacing="1" w:after="100" w:afterAutospacing="1" w:line="240" w:lineRule="auto"/>
      <w:textAlignment w:val="center"/>
    </w:pPr>
    <w:rPr>
      <w:rFonts w:ascii="Tahoma" w:hAnsi="Tahoma" w:cs="Tahoma"/>
      <w:kern w:val="0"/>
      <w:sz w:val="22"/>
    </w:rPr>
  </w:style>
  <w:style w:type="paragraph" w:customStyle="1" w:styleId="759">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0">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1">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2">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b/>
      <w:kern w:val="0"/>
      <w:sz w:val="22"/>
    </w:rPr>
  </w:style>
  <w:style w:type="paragraph" w:customStyle="1" w:styleId="763">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4">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 w:val="22"/>
    </w:rPr>
  </w:style>
  <w:style w:type="paragraph" w:customStyle="1" w:styleId="765">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6">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67">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cs="宋体"/>
      <w:kern w:val="0"/>
      <w:sz w:val="22"/>
    </w:rPr>
  </w:style>
  <w:style w:type="paragraph" w:customStyle="1" w:styleId="768">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 w:val="22"/>
    </w:rPr>
  </w:style>
  <w:style w:type="paragraph" w:customStyle="1" w:styleId="769">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2"/>
    </w:rPr>
  </w:style>
  <w:style w:type="paragraph" w:customStyle="1" w:styleId="770">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cs="宋体"/>
      <w:kern w:val="0"/>
      <w:szCs w:val="24"/>
    </w:rPr>
  </w:style>
  <w:style w:type="paragraph" w:customStyle="1" w:styleId="771">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cs="宋体"/>
      <w:kern w:val="0"/>
      <w:sz w:val="20"/>
      <w:szCs w:val="20"/>
    </w:rPr>
  </w:style>
  <w:style w:type="character" w:customStyle="1" w:styleId="772">
    <w:name w:val="font11"/>
    <w:qFormat/>
    <w:uiPriority w:val="0"/>
    <w:rPr>
      <w:rFonts w:hint="eastAsia" w:ascii="宋体" w:hAnsi="宋体" w:eastAsia="宋体" w:cs="宋体"/>
      <w:color w:val="000000"/>
      <w:sz w:val="14"/>
      <w:szCs w:val="14"/>
      <w:u w:val="none"/>
    </w:rPr>
  </w:style>
  <w:style w:type="paragraph" w:customStyle="1" w:styleId="773">
    <w:name w:val="正文（缩进）"/>
    <w:basedOn w:val="1"/>
    <w:qFormat/>
    <w:uiPriority w:val="0"/>
    <w:pPr>
      <w:spacing w:before="156" w:beforeLines="50" w:after="156" w:afterLines="50"/>
      <w:ind w:firstLine="480" w:firstLineChars="200"/>
      <w:jc w:val="both"/>
    </w:pPr>
    <w:rPr>
      <w:rFonts w:ascii="Times New Roman" w:hAnsi="Times New Roman" w:cs="Times New Roman"/>
      <w:kern w:val="0"/>
      <w:szCs w:val="20"/>
    </w:rPr>
  </w:style>
  <w:style w:type="character" w:customStyle="1" w:styleId="774">
    <w:name w:val="font51"/>
    <w:qFormat/>
    <w:uiPriority w:val="0"/>
    <w:rPr>
      <w:rFonts w:ascii="Calibri" w:hAnsi="Calibri" w:cs="Calibri"/>
      <w:color w:val="000000"/>
      <w:sz w:val="20"/>
      <w:szCs w:val="20"/>
      <w:u w:val="none"/>
    </w:rPr>
  </w:style>
  <w:style w:type="character" w:customStyle="1" w:styleId="775">
    <w:name w:val="font12"/>
    <w:qFormat/>
    <w:uiPriority w:val="0"/>
    <w:rPr>
      <w:rFonts w:hint="eastAsia" w:ascii="宋体" w:hAnsi="宋体" w:eastAsia="宋体" w:cs="宋体"/>
      <w:color w:val="000000"/>
      <w:sz w:val="20"/>
      <w:szCs w:val="20"/>
      <w:u w:val="none"/>
    </w:rPr>
  </w:style>
  <w:style w:type="character" w:customStyle="1" w:styleId="776">
    <w:name w:val="font101"/>
    <w:qFormat/>
    <w:uiPriority w:val="0"/>
    <w:rPr>
      <w:rFonts w:hint="default" w:ascii="Times New Roman" w:hAnsi="Times New Roman" w:cs="Times New Roman"/>
      <w:color w:val="000000"/>
      <w:sz w:val="20"/>
      <w:szCs w:val="20"/>
      <w:u w:val="none"/>
    </w:rPr>
  </w:style>
  <w:style w:type="character" w:customStyle="1" w:styleId="777">
    <w:name w:val="font41"/>
    <w:basedOn w:val="83"/>
    <w:qFormat/>
    <w:uiPriority w:val="0"/>
    <w:rPr>
      <w:rFonts w:hint="eastAsia" w:ascii="宋体" w:hAnsi="宋体" w:eastAsia="宋体" w:cs="宋体"/>
      <w:color w:val="000000"/>
      <w:sz w:val="20"/>
      <w:szCs w:val="20"/>
      <w:u w:val="none"/>
    </w:rPr>
  </w:style>
  <w:style w:type="character" w:customStyle="1" w:styleId="778">
    <w:name w:val="font122"/>
    <w:qFormat/>
    <w:uiPriority w:val="0"/>
    <w:rPr>
      <w:rFonts w:ascii="微软雅黑" w:hAnsi="微软雅黑" w:eastAsia="微软雅黑" w:cs="微软雅黑"/>
      <w:color w:val="000000"/>
      <w:sz w:val="20"/>
      <w:szCs w:val="20"/>
      <w:u w:val="none"/>
    </w:rPr>
  </w:style>
  <w:style w:type="character" w:customStyle="1" w:styleId="779">
    <w:name w:val="font131"/>
    <w:qFormat/>
    <w:uiPriority w:val="0"/>
    <w:rPr>
      <w:rFonts w:ascii="Calibri" w:hAnsi="Calibri" w:cs="Calibri"/>
      <w:color w:val="000000"/>
      <w:sz w:val="20"/>
      <w:szCs w:val="20"/>
      <w:u w:val="none"/>
    </w:rPr>
  </w:style>
  <w:style w:type="character" w:customStyle="1" w:styleId="780">
    <w:name w:val="font141"/>
    <w:qFormat/>
    <w:uiPriority w:val="0"/>
    <w:rPr>
      <w:rFonts w:hint="eastAsia" w:ascii="微软雅黑" w:hAnsi="微软雅黑" w:eastAsia="微软雅黑" w:cs="微软雅黑"/>
      <w:color w:val="000000"/>
      <w:sz w:val="20"/>
      <w:szCs w:val="20"/>
      <w:u w:val="none"/>
    </w:rPr>
  </w:style>
  <w:style w:type="character" w:customStyle="1" w:styleId="781">
    <w:name w:val="font151"/>
    <w:qFormat/>
    <w:uiPriority w:val="0"/>
    <w:rPr>
      <w:rFonts w:hint="default" w:ascii="Times New Roman" w:hAnsi="Times New Roman" w:cs="Times New Roman"/>
      <w:color w:val="000000"/>
      <w:sz w:val="20"/>
      <w:szCs w:val="20"/>
      <w:u w:val="none"/>
    </w:rPr>
  </w:style>
  <w:style w:type="character" w:customStyle="1" w:styleId="782">
    <w:name w:val="font161"/>
    <w:qFormat/>
    <w:uiPriority w:val="0"/>
    <w:rPr>
      <w:rFonts w:hint="default" w:ascii="Calibri" w:hAnsi="Calibri" w:cs="Calibri"/>
      <w:color w:val="000000"/>
      <w:sz w:val="20"/>
      <w:szCs w:val="20"/>
      <w:u w:val="none"/>
    </w:rPr>
  </w:style>
  <w:style w:type="character" w:customStyle="1" w:styleId="783">
    <w:name w:val="font171"/>
    <w:qFormat/>
    <w:uiPriority w:val="0"/>
    <w:rPr>
      <w:rFonts w:hint="eastAsia" w:ascii="微软雅黑" w:hAnsi="微软雅黑" w:eastAsia="微软雅黑" w:cs="微软雅黑"/>
      <w:color w:val="000000"/>
      <w:sz w:val="20"/>
      <w:szCs w:val="20"/>
      <w:u w:val="none"/>
    </w:rPr>
  </w:style>
  <w:style w:type="character" w:customStyle="1" w:styleId="784">
    <w:name w:val="font111"/>
    <w:qFormat/>
    <w:uiPriority w:val="0"/>
    <w:rPr>
      <w:rFonts w:hint="default" w:ascii="Times New Roman" w:hAnsi="Times New Roman" w:cs="Times New Roman"/>
      <w:color w:val="000000"/>
      <w:sz w:val="20"/>
      <w:szCs w:val="20"/>
      <w:u w:val="none"/>
    </w:rPr>
  </w:style>
  <w:style w:type="character" w:customStyle="1" w:styleId="785">
    <w:name w:val="font181"/>
    <w:qFormat/>
    <w:uiPriority w:val="0"/>
    <w:rPr>
      <w:rFonts w:hint="default" w:ascii="Calibri" w:hAnsi="Calibri" w:cs="Calibri"/>
      <w:color w:val="000000"/>
      <w:sz w:val="20"/>
      <w:szCs w:val="20"/>
      <w:u w:val="none"/>
    </w:rPr>
  </w:style>
  <w:style w:type="character" w:customStyle="1" w:styleId="786">
    <w:name w:val="font191"/>
    <w:qFormat/>
    <w:uiPriority w:val="0"/>
    <w:rPr>
      <w:rFonts w:hint="eastAsia" w:ascii="微软雅黑" w:hAnsi="微软雅黑" w:eastAsia="微软雅黑" w:cs="微软雅黑"/>
      <w:color w:val="000000"/>
      <w:sz w:val="20"/>
      <w:szCs w:val="20"/>
      <w:u w:val="none"/>
    </w:rPr>
  </w:style>
  <w:style w:type="character" w:customStyle="1" w:styleId="787">
    <w:name w:val="font112"/>
    <w:qFormat/>
    <w:uiPriority w:val="0"/>
    <w:rPr>
      <w:rFonts w:hint="default" w:ascii="Times New Roman" w:hAnsi="Times New Roman" w:cs="Times New Roman"/>
      <w:color w:val="000000"/>
      <w:sz w:val="20"/>
      <w:szCs w:val="20"/>
      <w:u w:val="none"/>
    </w:rPr>
  </w:style>
  <w:style w:type="character" w:customStyle="1" w:styleId="788">
    <w:name w:val="font61"/>
    <w:basedOn w:val="83"/>
    <w:qFormat/>
    <w:uiPriority w:val="0"/>
    <w:rPr>
      <w:rFonts w:hint="default" w:ascii="Times New Roman" w:hAnsi="Times New Roman" w:cs="Times New Roman"/>
      <w:color w:val="000000"/>
      <w:sz w:val="20"/>
      <w:szCs w:val="20"/>
      <w:u w:val="none"/>
    </w:rPr>
  </w:style>
  <w:style w:type="character" w:customStyle="1" w:styleId="789">
    <w:name w:val="font121"/>
    <w:basedOn w:val="83"/>
    <w:qFormat/>
    <w:uiPriority w:val="0"/>
    <w:rPr>
      <w:rFonts w:ascii="微软雅黑" w:hAnsi="微软雅黑" w:eastAsia="微软雅黑" w:cs="微软雅黑"/>
      <w:color w:val="000000"/>
      <w:sz w:val="20"/>
      <w:szCs w:val="20"/>
      <w:u w:val="none"/>
    </w:rPr>
  </w:style>
  <w:style w:type="paragraph" w:customStyle="1" w:styleId="790">
    <w:name w:val="TOC 标题3"/>
    <w:basedOn w:val="3"/>
    <w:next w:val="1"/>
    <w:qFormat/>
    <w:uiPriority w:val="0"/>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EF6A-2EED-41FE-9D2D-9A7DA82FBF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174</Pages>
  <Words>10287</Words>
  <Characters>11431</Characters>
  <Lines>4227</Lines>
  <Paragraphs>3487</Paragraphs>
  <TotalTime>6</TotalTime>
  <ScaleCrop>false</ScaleCrop>
  <LinksUpToDate>false</LinksUpToDate>
  <CharactersWithSpaces>11651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2025-05-26T08:14:00Z</dcterms:created>
  <dc:creator>admin</dc:creator>
  <cp:lastModifiedBy>云烟梦影</cp:lastModifiedBy>
  <cp:lastPrinted>2025-05-26T08:19:00Z</cp:lastPrinted>
  <dcterms:modified xsi:type="dcterms:W3CDTF">2025-06-25T06:42:34Z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B1A5A7FFC32C418AA7337F68153197B4_13</vt:lpwstr>
  </property>
  <property fmtid="{D5CDD505-2E9C-101B-9397-08002B2CF9AE}" pid="4" name="KSOTemplateDocerSaveRecord">
    <vt:lpwstr>eyJoZGlkIjoiYWJlZjhmOTcwNDc0NTZlYTBhOTNiMWUzMGM5NjU4M2IiLCJ1c2VySWQiOiI0NDc1MTU4MzEifQ==</vt:lpwstr>
  </property>
</Properties>
</file>